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E15CA" w14:textId="16A6FEFC" w:rsidR="00BB7C10" w:rsidRDefault="00BB7C10" w:rsidP="00F00426">
      <w:pPr>
        <w:pStyle w:val="Heading1"/>
        <w:ind w:left="680"/>
        <w:jc w:val="center"/>
      </w:pPr>
      <w:bookmarkStart w:id="0" w:name="_Toc161411902"/>
      <w:bookmarkStart w:id="1" w:name="_Toc41037885"/>
      <w:bookmarkStart w:id="2" w:name="_Toc16855874"/>
      <w:bookmarkStart w:id="3" w:name="_Toc178066099"/>
      <w:bookmarkStart w:id="4" w:name="_Toc201925078"/>
      <w:r w:rsidRPr="007D431B">
        <w:t>Flood Risk Assessment tick sheet</w:t>
      </w:r>
      <w:bookmarkEnd w:id="0"/>
      <w:bookmarkEnd w:id="1"/>
      <w:bookmarkEnd w:id="2"/>
      <w:bookmarkEnd w:id="3"/>
      <w:bookmarkEnd w:id="4"/>
    </w:p>
    <w:p w14:paraId="764E6147" w14:textId="72CFB7FE" w:rsidR="00F00426" w:rsidRPr="00F00426" w:rsidRDefault="00F00426" w:rsidP="00F00426">
      <w:pPr>
        <w:jc w:val="center"/>
        <w:rPr>
          <w:rFonts w:cs="Calibri"/>
          <w:szCs w:val="24"/>
        </w:rPr>
      </w:pPr>
      <w:r w:rsidRPr="00F00426">
        <w:rPr>
          <w:rFonts w:cs="Calibri"/>
          <w:szCs w:val="24"/>
        </w:rPr>
        <w:t>November 2025</w:t>
      </w:r>
    </w:p>
    <w:p w14:paraId="79CCBB27" w14:textId="1F90CD6F" w:rsidR="00F00426" w:rsidRPr="00F00426" w:rsidRDefault="00F00426" w:rsidP="00F00426">
      <w:pPr>
        <w:shd w:val="clear" w:color="auto" w:fill="FAE2D5" w:themeFill="accent2" w:themeFillTint="33"/>
        <w:jc w:val="center"/>
        <w:rPr>
          <w:rFonts w:cs="Calibri"/>
          <w:szCs w:val="24"/>
        </w:rPr>
      </w:pPr>
      <w:r w:rsidRPr="00F00426">
        <w:rPr>
          <w:rFonts w:eastAsiaTheme="majorEastAsia" w:cs="Calibri"/>
          <w:color w:val="0F4761" w:themeColor="accent1" w:themeShade="BF"/>
          <w:szCs w:val="24"/>
        </w:rPr>
        <w:t xml:space="preserve">Please note that this has been amended (November 2025) </w:t>
      </w:r>
      <w:r>
        <w:rPr>
          <w:rFonts w:eastAsiaTheme="majorEastAsia" w:cs="Calibri"/>
          <w:color w:val="0F4761" w:themeColor="accent1" w:themeShade="BF"/>
          <w:szCs w:val="24"/>
        </w:rPr>
        <w:t>following</w:t>
      </w:r>
      <w:r w:rsidRPr="00F00426">
        <w:rPr>
          <w:rFonts w:eastAsiaTheme="majorEastAsia" w:cs="Calibri"/>
          <w:color w:val="0F4761" w:themeColor="accent1" w:themeShade="BF"/>
          <w:szCs w:val="24"/>
        </w:rPr>
        <w:t xml:space="preserve"> </w:t>
      </w:r>
      <w:r>
        <w:rPr>
          <w:rFonts w:eastAsiaTheme="majorEastAsia" w:cs="Calibri"/>
          <w:color w:val="0F4761" w:themeColor="accent1" w:themeShade="BF"/>
          <w:szCs w:val="24"/>
        </w:rPr>
        <w:t>suggested amendments</w:t>
      </w:r>
      <w:r w:rsidRPr="00F00426">
        <w:rPr>
          <w:rFonts w:eastAsiaTheme="majorEastAsia" w:cs="Calibri"/>
          <w:color w:val="0F4761" w:themeColor="accent1" w:themeShade="BF"/>
          <w:szCs w:val="24"/>
        </w:rPr>
        <w:t xml:space="preserve"> from the Environment Agency.</w:t>
      </w:r>
    </w:p>
    <w:p w14:paraId="1FA69B49" w14:textId="77777777" w:rsidR="00BB7C10" w:rsidRPr="007D431B" w:rsidRDefault="00BB7C10" w:rsidP="00BB7C10">
      <w:pPr>
        <w:pStyle w:val="Standard"/>
        <w:spacing w:after="0"/>
      </w:pPr>
      <w:r w:rsidRPr="007D431B">
        <w:rPr>
          <w:rFonts w:cs="Calibri"/>
          <w:b/>
          <w:szCs w:val="24"/>
        </w:rPr>
        <w:t>Flood Risk Assessments for Householder and other minor extensions in Flood Zones 2 &amp; 3</w:t>
      </w:r>
    </w:p>
    <w:p w14:paraId="559FFC23" w14:textId="373888D1" w:rsidR="00BB7C10" w:rsidRPr="007D431B" w:rsidRDefault="00BB7C10" w:rsidP="00BB7C10">
      <w:pPr>
        <w:pStyle w:val="Standard"/>
        <w:spacing w:after="0"/>
      </w:pPr>
      <w:r w:rsidRPr="007D431B">
        <w:rPr>
          <w:rFonts w:cs="Calibri"/>
          <w:color w:val="0B0C0C"/>
          <w:szCs w:val="24"/>
        </w:rPr>
        <w:t>Applications for planning permission within either Flood Zones 2 &amp; 3 should be accompanied by a flood risk assessment</w:t>
      </w:r>
      <w:r w:rsidR="005D455A">
        <w:rPr>
          <w:rStyle w:val="FootnoteReference"/>
          <w:rFonts w:cs="Calibri"/>
          <w:color w:val="0B0C0C"/>
          <w:szCs w:val="24"/>
        </w:rPr>
        <w:footnoteReference w:id="1"/>
      </w:r>
      <w:r w:rsidRPr="007D431B">
        <w:rPr>
          <w:rFonts w:cs="Calibri"/>
          <w:color w:val="0B0C0C"/>
          <w:szCs w:val="24"/>
        </w:rPr>
        <w:t>. This guidance is for domestic applications and non-domestic extensions where the additional footprint created by the development does not exceed 250 sq. metres (minor development</w:t>
      </w:r>
      <w:r w:rsidRPr="00AE5503">
        <w:rPr>
          <w:rFonts w:cs="Calibri"/>
          <w:color w:val="0B0C0C"/>
          <w:szCs w:val="24"/>
          <w:vertAlign w:val="superscript"/>
        </w:rPr>
        <w:footnoteReference w:id="2"/>
      </w:r>
      <w:r w:rsidRPr="007D431B">
        <w:rPr>
          <w:rFonts w:cs="Calibri"/>
          <w:color w:val="0B0C0C"/>
          <w:szCs w:val="24"/>
        </w:rPr>
        <w:t xml:space="preserve">). It does NOT apply if an additional dwelling is being created e.g. a self-contained annex. </w:t>
      </w:r>
      <w:r w:rsidRPr="007D431B">
        <w:rPr>
          <w:rFonts w:cs="Calibri"/>
          <w:szCs w:val="24"/>
        </w:rPr>
        <w:t xml:space="preserve">This Tick Sheet is consistent with the Environment Agency’s Standing Advice. It is a pragmatic and proportionate response to low-risk developments </w:t>
      </w:r>
      <w:proofErr w:type="gramStart"/>
      <w:r w:rsidRPr="007D431B">
        <w:rPr>
          <w:rFonts w:cs="Calibri"/>
          <w:szCs w:val="24"/>
        </w:rPr>
        <w:t>in order to</w:t>
      </w:r>
      <w:proofErr w:type="gramEnd"/>
      <w:r w:rsidRPr="007D431B">
        <w:rPr>
          <w:rFonts w:cs="Calibri"/>
          <w:szCs w:val="24"/>
        </w:rPr>
        <w:t xml:space="preserve"> reduce the burden on applicants, the LPA and consultees.</w:t>
      </w:r>
    </w:p>
    <w:p w14:paraId="7598A287" w14:textId="77777777" w:rsidR="00BB7C10" w:rsidRPr="007D431B" w:rsidRDefault="00BB7C10" w:rsidP="00BB7C10">
      <w:pPr>
        <w:pStyle w:val="Standard"/>
        <w:suppressLineNumbers/>
        <w:spacing w:after="0"/>
        <w:rPr>
          <w:rFonts w:cs="Calibri"/>
          <w:color w:val="0B0C0C"/>
          <w:szCs w:val="24"/>
        </w:rPr>
      </w:pPr>
    </w:p>
    <w:p w14:paraId="7BA010BF" w14:textId="38C4928C" w:rsidR="00BB7C10" w:rsidRPr="007D431B" w:rsidRDefault="00BB7C10" w:rsidP="00BB7C10">
      <w:pPr>
        <w:pStyle w:val="Standard"/>
        <w:spacing w:after="0"/>
      </w:pPr>
      <w:r w:rsidRPr="00F00426">
        <w:rPr>
          <w:rFonts w:cs="Calibri"/>
          <w:color w:val="0B0C0C"/>
          <w:szCs w:val="24"/>
        </w:rPr>
        <w:t xml:space="preserve">Make sure that </w:t>
      </w:r>
      <w:r w:rsidRPr="00F00426">
        <w:rPr>
          <w:rFonts w:cs="Calibri"/>
          <w:b/>
          <w:color w:val="0B0C0C"/>
          <w:szCs w:val="24"/>
        </w:rPr>
        <w:t xml:space="preserve">floor levels are either no lower than existing floor levels or </w:t>
      </w:r>
      <w:r w:rsidR="005D455A" w:rsidRPr="00F00426">
        <w:rPr>
          <w:rFonts w:cs="Calibri"/>
          <w:b/>
          <w:color w:val="0B0C0C"/>
          <w:szCs w:val="24"/>
        </w:rPr>
        <w:t xml:space="preserve">600 </w:t>
      </w:r>
      <w:r w:rsidRPr="00F00426">
        <w:rPr>
          <w:rFonts w:cs="Calibri"/>
          <w:b/>
          <w:color w:val="0B0C0C"/>
          <w:szCs w:val="24"/>
        </w:rPr>
        <w:t>millimetres (mm) above the estimated flood level.</w:t>
      </w:r>
      <w:r w:rsidRPr="00F00426">
        <w:rPr>
          <w:rFonts w:cs="Calibri"/>
          <w:color w:val="0B0C0C"/>
          <w:szCs w:val="24"/>
        </w:rPr>
        <w:t xml:space="preserve"> </w:t>
      </w:r>
      <w:r w:rsidR="005D455A" w:rsidRPr="00F00426">
        <w:rPr>
          <w:rFonts w:cs="Calibri"/>
          <w:color w:val="0B0C0C"/>
          <w:szCs w:val="24"/>
        </w:rPr>
        <w:t xml:space="preserve">You may be able to reduce this to 300mm if there is a high level of certainty about your estimated flood level. If there is a particularly high level of uncertainty it may need to be increased. </w:t>
      </w:r>
      <w:r w:rsidRPr="00F00426">
        <w:rPr>
          <w:rFonts w:cs="Calibri"/>
          <w:color w:val="0B0C0C"/>
          <w:szCs w:val="24"/>
        </w:rPr>
        <w:t xml:space="preserve">If your floor levels aren’t going to be </w:t>
      </w:r>
      <w:r w:rsidR="005D455A" w:rsidRPr="00F00426">
        <w:rPr>
          <w:rFonts w:cs="Calibri"/>
          <w:color w:val="0B0C0C"/>
          <w:szCs w:val="24"/>
        </w:rPr>
        <w:t xml:space="preserve">600mm </w:t>
      </w:r>
      <w:r w:rsidRPr="00F00426">
        <w:rPr>
          <w:rFonts w:cs="Calibri"/>
          <w:color w:val="0B0C0C"/>
          <w:szCs w:val="24"/>
        </w:rPr>
        <w:t xml:space="preserve">above existing flood levels, you will need to consider appropriate flood resistance and resilience measures. If floor levels are proposed to be set lower than existing floor levels, they should be above the known or modelled 1 in 100 annual probability river flood (1%) </w:t>
      </w:r>
      <w:r w:rsidR="005D455A" w:rsidRPr="00F00426">
        <w:rPr>
          <w:rFonts w:cs="Calibri"/>
          <w:color w:val="0B0C0C"/>
          <w:szCs w:val="24"/>
        </w:rPr>
        <w:t xml:space="preserve">plus climate change </w:t>
      </w:r>
      <w:r w:rsidRPr="00F00426">
        <w:rPr>
          <w:rFonts w:cs="Calibri"/>
          <w:color w:val="0B0C0C"/>
          <w:szCs w:val="24"/>
        </w:rPr>
        <w:t>or 1 in 200 annual probability sea flood (0.5%)</w:t>
      </w:r>
      <w:r w:rsidR="005D455A" w:rsidRPr="00F00426">
        <w:rPr>
          <w:rFonts w:cs="Calibri"/>
          <w:color w:val="0B0C0C"/>
          <w:szCs w:val="24"/>
        </w:rPr>
        <w:t xml:space="preserve"> plus climate change,</w:t>
      </w:r>
      <w:r w:rsidRPr="00F00426">
        <w:rPr>
          <w:rFonts w:cs="Calibri"/>
          <w:color w:val="0B0C0C"/>
          <w:szCs w:val="24"/>
        </w:rPr>
        <w:t xml:space="preserve"> in any year.</w:t>
      </w:r>
    </w:p>
    <w:p w14:paraId="46AF6B65" w14:textId="77777777" w:rsidR="00BB7C10" w:rsidRPr="007D431B" w:rsidRDefault="00BB7C10" w:rsidP="00BB7C10">
      <w:pPr>
        <w:pStyle w:val="Standard"/>
        <w:suppressLineNumbers/>
        <w:spacing w:after="0"/>
        <w:rPr>
          <w:rFonts w:cs="Calibri"/>
          <w:color w:val="0B0C0C"/>
          <w:szCs w:val="24"/>
        </w:rPr>
      </w:pPr>
    </w:p>
    <w:p w14:paraId="52B7CCD8" w14:textId="2B5BD409" w:rsidR="00BB7C10" w:rsidRPr="009055F9" w:rsidRDefault="00BB7C10" w:rsidP="00BB7C10">
      <w:pPr>
        <w:pStyle w:val="Standard"/>
        <w:spacing w:after="0"/>
      </w:pPr>
      <w:r w:rsidRPr="007D431B">
        <w:rPr>
          <w:rFonts w:cs="Calibri"/>
          <w:color w:val="0B0C0C"/>
          <w:szCs w:val="24"/>
        </w:rPr>
        <w:t xml:space="preserve">Further information and guidance on flood </w:t>
      </w:r>
      <w:r w:rsidRPr="009055F9">
        <w:rPr>
          <w:rFonts w:cs="Calibri"/>
          <w:color w:val="0B0C0C"/>
          <w:szCs w:val="24"/>
        </w:rPr>
        <w:t xml:space="preserve">resistance and resilience measures is available in </w:t>
      </w:r>
      <w:hyperlink r:id="rId11" w:history="1">
        <w:r w:rsidR="00F00426" w:rsidRPr="00F00426">
          <w:rPr>
            <w:rStyle w:val="Internetlink"/>
          </w:rPr>
          <w:t>the Flood Risk SPD</w:t>
        </w:r>
      </w:hyperlink>
      <w:r>
        <w:rPr>
          <w:rFonts w:cs="Calibri"/>
          <w:color w:val="0B0C0C"/>
          <w:szCs w:val="24"/>
        </w:rPr>
        <w:t xml:space="preserve">, </w:t>
      </w:r>
      <w:hyperlink r:id="rId12" w:history="1">
        <w:r w:rsidRPr="00F00426">
          <w:rPr>
            <w:rStyle w:val="Internetlink"/>
          </w:rPr>
          <w:t>Flood risk assessment: Flood Zones 1, 2, 3 and 3b - GOV.UK</w:t>
        </w:r>
      </w:hyperlink>
      <w:r w:rsidRPr="009055F9">
        <w:rPr>
          <w:rFonts w:cs="Calibri"/>
          <w:color w:val="0B0C0C"/>
          <w:szCs w:val="24"/>
        </w:rPr>
        <w:t xml:space="preserve"> </w:t>
      </w:r>
      <w:r>
        <w:rPr>
          <w:rFonts w:cs="Calibri"/>
          <w:color w:val="0B0C0C"/>
          <w:szCs w:val="24"/>
        </w:rPr>
        <w:t xml:space="preserve">and </w:t>
      </w:r>
      <w:hyperlink r:id="rId13" w:history="1">
        <w:r>
          <w:rPr>
            <w:rStyle w:val="Internetlink"/>
          </w:rPr>
          <w:t>Flood resilient construction of new buildings - GOV.UK</w:t>
        </w:r>
      </w:hyperlink>
      <w:r w:rsidRPr="009055F9">
        <w:t>.</w:t>
      </w:r>
    </w:p>
    <w:p w14:paraId="703A5B6C" w14:textId="77777777" w:rsidR="00BB7C10" w:rsidRPr="009055F9" w:rsidRDefault="00BB7C10" w:rsidP="00BB7C10">
      <w:pPr>
        <w:pStyle w:val="Standard"/>
        <w:spacing w:after="0"/>
        <w:rPr>
          <w:rFonts w:cs="Calibri"/>
          <w:color w:val="0B0C0C"/>
          <w:szCs w:val="24"/>
        </w:rPr>
      </w:pPr>
    </w:p>
    <w:p w14:paraId="09D24017" w14:textId="77777777" w:rsidR="00BB7C10" w:rsidRPr="009055F9" w:rsidRDefault="00BB7C10" w:rsidP="00BB7C10">
      <w:pPr>
        <w:pStyle w:val="Standard"/>
        <w:spacing w:after="0"/>
      </w:pPr>
      <w:r w:rsidRPr="009055F9">
        <w:rPr>
          <w:rFonts w:cs="Calibri"/>
          <w:color w:val="0B0C0C"/>
          <w:szCs w:val="24"/>
        </w:rPr>
        <w:t>State in your Flood Risk Assessment all levels in relation to Ordnance Datum (the height above average sea level). You may be able to get this information from the </w:t>
      </w:r>
      <w:r w:rsidRPr="009055F9">
        <w:rPr>
          <w:rFonts w:cs="Calibri"/>
          <w:szCs w:val="24"/>
        </w:rPr>
        <w:t>Ordnance Survey</w:t>
      </w:r>
      <w:r w:rsidRPr="009055F9">
        <w:rPr>
          <w:rFonts w:cs="Calibri"/>
          <w:szCs w:val="24"/>
          <w:vertAlign w:val="superscript"/>
        </w:rPr>
        <w:footnoteReference w:id="3"/>
      </w:r>
      <w:r w:rsidRPr="009055F9">
        <w:rPr>
          <w:rFonts w:cs="Calibri"/>
          <w:szCs w:val="24"/>
        </w:rPr>
        <w:t>.</w:t>
      </w:r>
      <w:r w:rsidRPr="009055F9">
        <w:rPr>
          <w:rFonts w:cs="Calibri"/>
          <w:color w:val="0B0C0C"/>
          <w:szCs w:val="24"/>
        </w:rPr>
        <w:t xml:space="preserve"> If not, you’ll need to get a land survey carried out by a qualified surveyor.</w:t>
      </w:r>
    </w:p>
    <w:p w14:paraId="61F15D96" w14:textId="77777777" w:rsidR="00BB7C10" w:rsidRPr="009055F9" w:rsidRDefault="00BB7C10" w:rsidP="00BB7C10">
      <w:pPr>
        <w:pStyle w:val="Standard"/>
        <w:suppressLineNumbers/>
        <w:spacing w:after="0"/>
        <w:rPr>
          <w:rFonts w:cs="Calibri"/>
          <w:b/>
          <w:szCs w:val="24"/>
        </w:rPr>
      </w:pPr>
    </w:p>
    <w:p w14:paraId="03A03C48" w14:textId="77777777" w:rsidR="00BB7C10" w:rsidRPr="007D431B" w:rsidRDefault="00BB7C10" w:rsidP="00BB7C10">
      <w:pPr>
        <w:pStyle w:val="Standard"/>
        <w:spacing w:after="0"/>
      </w:pPr>
      <w:r w:rsidRPr="009055F9">
        <w:rPr>
          <w:rFonts w:cs="Calibri"/>
          <w:b/>
          <w:szCs w:val="24"/>
        </w:rPr>
        <w:t>Applicants/Agents: Please complete the table overleaf and include it with the planning application submission. The table, together with a plan showing the finished floor levels and estimated flood levels, will form the Flood Risk Assessment (FRA) and will act as an assurance to the Local Planning Authority that flood risk issues have been adequately addressed.</w:t>
      </w:r>
    </w:p>
    <w:p w14:paraId="35354224" w14:textId="77777777" w:rsidR="00BB7C10" w:rsidRPr="007D431B" w:rsidRDefault="00BB7C10" w:rsidP="00BB7C10">
      <w:pPr>
        <w:pStyle w:val="Standard"/>
        <w:suppressLineNumbers/>
        <w:spacing w:after="0"/>
        <w:rPr>
          <w:rFonts w:cs="Calibri"/>
          <w:color w:val="0B0C0C"/>
          <w:szCs w:val="24"/>
        </w:rPr>
      </w:pPr>
    </w:p>
    <w:p w14:paraId="57372A74" w14:textId="3733CE3E" w:rsidR="00BB7C10" w:rsidRPr="007D431B" w:rsidRDefault="00BB7C10" w:rsidP="00BB7C10">
      <w:pPr>
        <w:pStyle w:val="Standard"/>
        <w:spacing w:after="0"/>
      </w:pPr>
      <w:r w:rsidRPr="007D431B">
        <w:rPr>
          <w:rFonts w:cs="Calibri"/>
          <w:color w:val="0B0C0C"/>
          <w:szCs w:val="24"/>
        </w:rPr>
        <w:lastRenderedPageBreak/>
        <w:t xml:space="preserve">You may be able to get the estimated flood level from the Environment Agency. Please contact </w:t>
      </w:r>
      <w:hyperlink r:id="rId14" w:tgtFrame="_blank" w:tooltip="mailto:enquiries@environment-agency.gov.uk" w:history="1">
        <w:r w:rsidR="002E6C86" w:rsidRPr="00F00426">
          <w:rPr>
            <w:rStyle w:val="Internetlink"/>
          </w:rPr>
          <w:t>enquiries@environment-agency.gov.uk</w:t>
        </w:r>
      </w:hyperlink>
      <w:r w:rsidRPr="007D431B">
        <w:rPr>
          <w:rFonts w:cs="Calibri"/>
          <w:color w:val="0B0C0C"/>
          <w:szCs w:val="24"/>
        </w:rPr>
        <w:t>. If not, you’ll need a flood risk specialist to calculate this for you.</w:t>
      </w:r>
    </w:p>
    <w:p w14:paraId="7A649A00" w14:textId="77777777" w:rsidR="00BB7C10" w:rsidRPr="007D431B" w:rsidRDefault="00BB7C10" w:rsidP="00BB7C10">
      <w:pPr>
        <w:pStyle w:val="Standard"/>
        <w:suppressLineNumbers/>
        <w:spacing w:after="0"/>
        <w:rPr>
          <w:rFonts w:cs="Calibri"/>
          <w:color w:val="0B0C0C"/>
          <w:szCs w:val="24"/>
        </w:rPr>
      </w:pPr>
    </w:p>
    <w:p w14:paraId="0074E77E" w14:textId="77777777" w:rsidR="00BB7C10" w:rsidRDefault="00BB7C10" w:rsidP="00BB7C10">
      <w:pPr>
        <w:pStyle w:val="Standard"/>
        <w:spacing w:after="0"/>
        <w:rPr>
          <w:rFonts w:cs="Calibri"/>
          <w:color w:val="0B0C0C"/>
          <w:szCs w:val="24"/>
        </w:rPr>
      </w:pPr>
      <w:r w:rsidRPr="007D431B">
        <w:rPr>
          <w:rFonts w:cs="Calibri"/>
          <w:color w:val="0B0C0C"/>
          <w:szCs w:val="24"/>
        </w:rPr>
        <w:t>You can use the Tick Sheet over page or provide your written flood risk assessment in another format, but it must include the relevant plans, surveys and assessments.</w:t>
      </w:r>
    </w:p>
    <w:p w14:paraId="1FE1790F" w14:textId="77777777" w:rsidR="00BB7C10" w:rsidRPr="007D431B" w:rsidRDefault="00BB7C10" w:rsidP="00BB7C10">
      <w:pPr>
        <w:pStyle w:val="Standard"/>
        <w:spacing w:after="0"/>
      </w:pPr>
    </w:p>
    <w:p w14:paraId="27EDF557" w14:textId="77777777" w:rsidR="00BB7C10" w:rsidRPr="007D431B" w:rsidRDefault="00BB7C10" w:rsidP="00BB7C10">
      <w:pPr>
        <w:pStyle w:val="Standard"/>
        <w:spacing w:after="0"/>
      </w:pPr>
      <w:r w:rsidRPr="007D431B">
        <w:rPr>
          <w:rFonts w:cs="Calibri"/>
          <w:color w:val="0B0C0C"/>
          <w:szCs w:val="24"/>
        </w:rPr>
        <w:t>Any proposed works or structures, in, under, over or within 8m of the top of the bank of a main river, or 16m of a tidal main river, may require a permit under the Environmental Permitting (England and Wales) Regulations 2010 from the Environment Agency. This was formerly called a Flood Defence Consent. Some activities</w:t>
      </w:r>
      <w:r w:rsidRPr="00AE5503">
        <w:rPr>
          <w:rFonts w:cs="Calibri"/>
          <w:szCs w:val="24"/>
          <w:vertAlign w:val="superscript"/>
        </w:rPr>
        <w:footnoteReference w:id="4"/>
      </w:r>
      <w:r w:rsidRPr="00AE5503">
        <w:rPr>
          <w:rFonts w:cs="Calibri"/>
          <w:szCs w:val="24"/>
          <w:vertAlign w:val="superscript"/>
        </w:rPr>
        <w:t xml:space="preserve"> </w:t>
      </w:r>
      <w:r w:rsidRPr="007D431B">
        <w:rPr>
          <w:rFonts w:cs="Calibri"/>
          <w:color w:val="0B0C0C"/>
          <w:szCs w:val="24"/>
        </w:rPr>
        <w:t xml:space="preserve">are also now </w:t>
      </w:r>
      <w:r w:rsidRPr="007D431B">
        <w:rPr>
          <w:rFonts w:cs="Calibri"/>
          <w:szCs w:val="24"/>
        </w:rPr>
        <w:t xml:space="preserve">excluded </w:t>
      </w:r>
      <w:r w:rsidRPr="007D431B">
        <w:rPr>
          <w:rFonts w:cs="Calibri"/>
          <w:color w:val="0B0C0C"/>
          <w:szCs w:val="24"/>
        </w:rPr>
        <w:t xml:space="preserve">or </w:t>
      </w:r>
      <w:r w:rsidRPr="007D431B">
        <w:rPr>
          <w:rFonts w:cs="Calibri"/>
          <w:szCs w:val="24"/>
        </w:rPr>
        <w:t>exempt</w:t>
      </w:r>
      <w:r w:rsidRPr="007D431B">
        <w:rPr>
          <w:rFonts w:cs="Calibri"/>
          <w:color w:val="0B0C0C"/>
          <w:szCs w:val="24"/>
        </w:rPr>
        <w:t>. A permit is separate to and in addition to any planning permission granted. Also note that a Marine Management Organisation Marine Licence may be required for works that are carried out on tidal rivers.</w:t>
      </w:r>
    </w:p>
    <w:p w14:paraId="6EE9D51E" w14:textId="77777777" w:rsidR="00BB7C10" w:rsidRPr="007D431B" w:rsidRDefault="00BB7C10" w:rsidP="00BB7C10">
      <w:pPr>
        <w:pStyle w:val="Standard"/>
        <w:suppressLineNumbers/>
        <w:spacing w:after="0"/>
        <w:rPr>
          <w:rFonts w:cs="Calibri"/>
          <w:color w:val="0B0C0C"/>
          <w:szCs w:val="24"/>
        </w:rPr>
      </w:pPr>
    </w:p>
    <w:p w14:paraId="1BA1E589" w14:textId="597BFA10" w:rsidR="00BB7C10" w:rsidRPr="007D431B" w:rsidRDefault="00BB7C10" w:rsidP="00BB7C10">
      <w:pPr>
        <w:pStyle w:val="Standard"/>
        <w:spacing w:after="0"/>
      </w:pPr>
      <w:r w:rsidRPr="007D431B">
        <w:rPr>
          <w:rFonts w:cs="Calibri"/>
          <w:color w:val="0B0C0C"/>
          <w:szCs w:val="24"/>
        </w:rPr>
        <w:t>Further details and guidance are available at:</w:t>
      </w:r>
      <w:r w:rsidRPr="007D431B">
        <w:t xml:space="preserve"> </w:t>
      </w:r>
      <w:hyperlink r:id="rId15" w:history="1">
        <w:r w:rsidRPr="007D431B">
          <w:rPr>
            <w:rStyle w:val="Internetlink"/>
            <w:szCs w:val="24"/>
          </w:rPr>
          <w:t>Flood risk activities: environmental permits - GOV.UK (www.gov.uk)</w:t>
        </w:r>
      </w:hyperlink>
      <w:r w:rsidRPr="007D431B">
        <w:rPr>
          <w:rFonts w:cs="Calibri"/>
          <w:color w:val="0B0C0C"/>
          <w:szCs w:val="24"/>
        </w:rPr>
        <w:t xml:space="preserve">. Or by contacting: </w:t>
      </w:r>
      <w:hyperlink r:id="rId16" w:tgtFrame="_blank" w:tooltip="mailto:flood.permitting@environment-agency.gov.uk" w:history="1">
        <w:r w:rsidR="000051F6" w:rsidRPr="00F00426">
          <w:rPr>
            <w:rStyle w:val="Internetlink"/>
          </w:rPr>
          <w:t>Flood.permitting@environment-agency.gov.uk</w:t>
        </w:r>
      </w:hyperlink>
      <w:r w:rsidR="00F00426">
        <w:t>.</w:t>
      </w:r>
    </w:p>
    <w:p w14:paraId="2CEF7DC8" w14:textId="77777777" w:rsidR="00BB7C10" w:rsidRPr="007D431B" w:rsidRDefault="00BB7C10" w:rsidP="00BB7C10">
      <w:pPr>
        <w:pStyle w:val="Standard"/>
        <w:suppressLineNumbers/>
        <w:spacing w:after="0"/>
        <w:rPr>
          <w:rFonts w:cs="Calibri"/>
          <w:szCs w:val="24"/>
        </w:rPr>
      </w:pPr>
      <w:bookmarkStart w:id="5" w:name="_Toc41037886"/>
    </w:p>
    <w:p w14:paraId="2CBEEF48" w14:textId="77777777" w:rsidR="00F00426" w:rsidRDefault="00F00426" w:rsidP="00BB7C10">
      <w:pPr>
        <w:pStyle w:val="Heading2"/>
        <w:ind w:left="680" w:hanging="680"/>
        <w:sectPr w:rsidR="00F00426" w:rsidSect="00BB7C10">
          <w:headerReference w:type="even" r:id="rId17"/>
          <w:headerReference w:type="default" r:id="rId18"/>
          <w:footerReference w:type="default" r:id="rId19"/>
          <w:headerReference w:type="first" r:id="rId20"/>
          <w:pgSz w:w="11906" w:h="16838"/>
          <w:pgMar w:top="1440" w:right="1191" w:bottom="1440" w:left="1247" w:header="720" w:footer="708" w:gutter="0"/>
          <w:cols w:space="720"/>
        </w:sectPr>
      </w:pPr>
      <w:bookmarkStart w:id="6" w:name="_Toc161411903"/>
      <w:bookmarkStart w:id="7" w:name="_Toc178066100"/>
      <w:bookmarkStart w:id="8" w:name="_Toc201925079"/>
    </w:p>
    <w:p w14:paraId="7AB9204B" w14:textId="77777777" w:rsidR="00BB7C10" w:rsidRPr="007D431B" w:rsidRDefault="00BB7C10" w:rsidP="00BB7C10">
      <w:pPr>
        <w:pStyle w:val="Heading2"/>
        <w:ind w:left="680" w:hanging="680"/>
      </w:pPr>
      <w:r w:rsidRPr="007D431B">
        <w:lastRenderedPageBreak/>
        <w:t>Flood Risk Assessment</w:t>
      </w:r>
      <w:bookmarkEnd w:id="5"/>
      <w:bookmarkEnd w:id="6"/>
      <w:bookmarkEnd w:id="7"/>
      <w:bookmarkEnd w:id="8"/>
    </w:p>
    <w:p w14:paraId="2B18D7C1" w14:textId="77777777" w:rsidR="00BB7C10" w:rsidRPr="007D431B" w:rsidRDefault="00BB7C10" w:rsidP="00BB7C10">
      <w:pPr>
        <w:pStyle w:val="Standard"/>
        <w:spacing w:after="0"/>
      </w:pPr>
      <w:r w:rsidRPr="007D431B">
        <w:rPr>
          <w:rFonts w:cs="Calibri"/>
          <w:b/>
          <w:szCs w:val="24"/>
        </w:rPr>
        <w:t>Flood Risk Assessments for Householder and other minor extensions in Flood Zones 2 &amp; 3</w:t>
      </w:r>
    </w:p>
    <w:p w14:paraId="7319E05A" w14:textId="77777777" w:rsidR="00BB7C10" w:rsidRPr="007D431B" w:rsidRDefault="00BB7C10" w:rsidP="00BB7C10">
      <w:pPr>
        <w:pStyle w:val="Standard"/>
        <w:suppressLineNumbers/>
        <w:spacing w:after="0"/>
        <w:rPr>
          <w:rFonts w:cs="Calibri"/>
          <w:b/>
          <w:szCs w:val="24"/>
        </w:rPr>
      </w:pPr>
    </w:p>
    <w:tbl>
      <w:tblPr>
        <w:tblW w:w="9305" w:type="dxa"/>
        <w:jc w:val="center"/>
        <w:tblLayout w:type="fixed"/>
        <w:tblCellMar>
          <w:left w:w="10" w:type="dxa"/>
          <w:right w:w="10" w:type="dxa"/>
        </w:tblCellMar>
        <w:tblLook w:val="04A0" w:firstRow="1" w:lastRow="0" w:firstColumn="1" w:lastColumn="0" w:noHBand="0" w:noVBand="1"/>
      </w:tblPr>
      <w:tblGrid>
        <w:gridCol w:w="5529"/>
        <w:gridCol w:w="3776"/>
      </w:tblGrid>
      <w:tr w:rsidR="00BB7C10" w:rsidRPr="007D431B" w14:paraId="0C2C7E7D" w14:textId="77777777" w:rsidTr="00EC024E">
        <w:trPr>
          <w:tblHeader/>
          <w:jc w:val="center"/>
        </w:trPr>
        <w:tc>
          <w:tcPr>
            <w:tcW w:w="5529" w:type="dxa"/>
            <w:tcBorders>
              <w:top w:val="single" w:sz="4" w:space="0" w:color="000000"/>
              <w:left w:val="single" w:sz="4" w:space="0" w:color="000000"/>
              <w:bottom w:val="single" w:sz="4" w:space="0" w:color="000000"/>
              <w:right w:val="single" w:sz="4" w:space="0" w:color="000000"/>
            </w:tcBorders>
            <w:shd w:val="clear" w:color="auto" w:fill="D9D9D9"/>
            <w:tcMar>
              <w:top w:w="57" w:type="dxa"/>
              <w:left w:w="108" w:type="dxa"/>
              <w:bottom w:w="57" w:type="dxa"/>
              <w:right w:w="108" w:type="dxa"/>
            </w:tcMar>
          </w:tcPr>
          <w:p w14:paraId="42C0C359" w14:textId="77777777" w:rsidR="00BB7C10" w:rsidRPr="007D431B" w:rsidRDefault="00BB7C10" w:rsidP="00EC024E">
            <w:pPr>
              <w:pStyle w:val="Standard"/>
              <w:spacing w:after="0"/>
              <w:jc w:val="center"/>
              <w:rPr>
                <w:b/>
                <w:szCs w:val="20"/>
              </w:rPr>
            </w:pPr>
            <w:r w:rsidRPr="007D431B">
              <w:rPr>
                <w:rFonts w:cs="Calibri"/>
                <w:b/>
                <w:szCs w:val="24"/>
              </w:rPr>
              <w:t>Applicant to choose one or other of the flood mitigation measures below</w:t>
            </w:r>
          </w:p>
        </w:tc>
        <w:tc>
          <w:tcPr>
            <w:tcW w:w="3776" w:type="dxa"/>
            <w:tcBorders>
              <w:top w:val="single" w:sz="4" w:space="0" w:color="000000"/>
              <w:left w:val="single" w:sz="4" w:space="0" w:color="000000"/>
              <w:bottom w:val="single" w:sz="4" w:space="0" w:color="000000"/>
              <w:right w:val="single" w:sz="4" w:space="0" w:color="000000"/>
            </w:tcBorders>
            <w:shd w:val="clear" w:color="auto" w:fill="D9D9D9"/>
            <w:tcMar>
              <w:top w:w="57" w:type="dxa"/>
              <w:left w:w="108" w:type="dxa"/>
              <w:bottom w:w="57" w:type="dxa"/>
              <w:right w:w="108" w:type="dxa"/>
            </w:tcMar>
          </w:tcPr>
          <w:p w14:paraId="78130179" w14:textId="77777777" w:rsidR="00BB7C10" w:rsidRPr="007D431B" w:rsidRDefault="00BB7C10" w:rsidP="00EC024E">
            <w:pPr>
              <w:pStyle w:val="Standard"/>
              <w:spacing w:after="0"/>
              <w:jc w:val="center"/>
              <w:rPr>
                <w:b/>
                <w:szCs w:val="20"/>
              </w:rPr>
            </w:pPr>
            <w:r w:rsidRPr="007D431B">
              <w:rPr>
                <w:rFonts w:cs="Calibri"/>
                <w:b/>
                <w:szCs w:val="24"/>
              </w:rPr>
              <w:t>Applicant to indicate their choice in the box below. Enter ‘</w:t>
            </w:r>
            <w:proofErr w:type="spellStart"/>
            <w:r w:rsidRPr="007D431B">
              <w:rPr>
                <w:rFonts w:cs="Calibri"/>
                <w:b/>
                <w:szCs w:val="24"/>
              </w:rPr>
              <w:t>yes’</w:t>
            </w:r>
            <w:proofErr w:type="spellEnd"/>
            <w:r w:rsidRPr="007D431B">
              <w:rPr>
                <w:rFonts w:cs="Calibri"/>
                <w:b/>
                <w:szCs w:val="24"/>
              </w:rPr>
              <w:t xml:space="preserve"> or ‘no’</w:t>
            </w:r>
          </w:p>
        </w:tc>
      </w:tr>
      <w:tr w:rsidR="00BB7C10" w:rsidRPr="007D431B" w14:paraId="500CC15B" w14:textId="77777777" w:rsidTr="00EC024E">
        <w:trPr>
          <w:jc w:val="center"/>
        </w:trPr>
        <w:tc>
          <w:tcPr>
            <w:tcW w:w="552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1FD3AE2" w14:textId="77777777" w:rsidR="00BB7C10" w:rsidRPr="007D431B" w:rsidRDefault="00BB7C10" w:rsidP="00EC024E">
            <w:pPr>
              <w:pStyle w:val="Standard"/>
              <w:spacing w:after="0"/>
              <w:jc w:val="center"/>
              <w:rPr>
                <w:szCs w:val="20"/>
              </w:rPr>
            </w:pPr>
            <w:r w:rsidRPr="007D431B">
              <w:rPr>
                <w:rFonts w:cs="Calibri"/>
                <w:b/>
                <w:szCs w:val="24"/>
              </w:rPr>
              <w:t>Either</w:t>
            </w:r>
            <w:r w:rsidRPr="007D431B">
              <w:rPr>
                <w:rFonts w:cs="Calibri"/>
                <w:szCs w:val="24"/>
              </w:rPr>
              <w:t>;</w:t>
            </w:r>
            <w:r w:rsidRPr="007D431B">
              <w:rPr>
                <w:rFonts w:cs="Calibri"/>
                <w:szCs w:val="24"/>
              </w:rPr>
              <w:br/>
              <w:t>Floor levels within the proposed development will be set no lower than existing levels AND, flood resilient and/or flood resistant measures have been incorporated in the proposed development where appropriate</w:t>
            </w:r>
          </w:p>
        </w:tc>
        <w:tc>
          <w:tcPr>
            <w:tcW w:w="37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AC8AFCB" w14:textId="77777777" w:rsidR="00BB7C10" w:rsidRPr="007D431B" w:rsidRDefault="00BB7C10" w:rsidP="00EC024E">
            <w:pPr>
              <w:pStyle w:val="Standard"/>
              <w:spacing w:after="0"/>
              <w:jc w:val="center"/>
              <w:rPr>
                <w:rFonts w:cs="Calibri"/>
                <w:szCs w:val="24"/>
              </w:rPr>
            </w:pPr>
          </w:p>
        </w:tc>
      </w:tr>
      <w:tr w:rsidR="00BB7C10" w:rsidRPr="007D431B" w14:paraId="7CDB87AB" w14:textId="77777777" w:rsidTr="00EC024E">
        <w:trPr>
          <w:jc w:val="center"/>
        </w:trPr>
        <w:tc>
          <w:tcPr>
            <w:tcW w:w="5529"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1462AC42" w14:textId="6BABC1B9" w:rsidR="00BB7C10" w:rsidRPr="007D431B" w:rsidRDefault="00BB7C10" w:rsidP="00EC024E">
            <w:pPr>
              <w:pStyle w:val="Standard"/>
              <w:spacing w:after="0"/>
              <w:jc w:val="center"/>
              <w:rPr>
                <w:szCs w:val="20"/>
              </w:rPr>
            </w:pPr>
            <w:r w:rsidRPr="007D431B">
              <w:rPr>
                <w:rFonts w:cs="Calibri"/>
                <w:b/>
                <w:szCs w:val="24"/>
              </w:rPr>
              <w:t>Or</w:t>
            </w:r>
            <w:r w:rsidRPr="007D431B">
              <w:rPr>
                <w:rFonts w:cs="Calibri"/>
                <w:szCs w:val="24"/>
              </w:rPr>
              <w:t>;</w:t>
            </w:r>
            <w:r w:rsidRPr="007D431B">
              <w:rPr>
                <w:rFonts w:cs="Calibri"/>
                <w:szCs w:val="24"/>
              </w:rPr>
              <w:br/>
              <w:t xml:space="preserve">Floor levels within the proposed development will be set 300mm above the known or modelled 1 in 100 annual probability river flood (1%) </w:t>
            </w:r>
            <w:r w:rsidR="005D455A">
              <w:rPr>
                <w:rFonts w:cs="Calibri"/>
                <w:szCs w:val="24"/>
              </w:rPr>
              <w:t xml:space="preserve">plus climate change </w:t>
            </w:r>
            <w:r w:rsidRPr="007D431B">
              <w:rPr>
                <w:rFonts w:cs="Calibri"/>
                <w:szCs w:val="24"/>
              </w:rPr>
              <w:t>or 1 in 200 annual probability sea flood (0.5%)</w:t>
            </w:r>
            <w:r w:rsidR="005D455A">
              <w:rPr>
                <w:rFonts w:cs="Calibri"/>
                <w:szCs w:val="24"/>
              </w:rPr>
              <w:t xml:space="preserve"> plus climate </w:t>
            </w:r>
            <w:r w:rsidR="00F00426">
              <w:rPr>
                <w:rFonts w:cs="Calibri"/>
                <w:szCs w:val="24"/>
              </w:rPr>
              <w:t xml:space="preserve">change, </w:t>
            </w:r>
            <w:r w:rsidR="00F00426" w:rsidRPr="007D431B">
              <w:rPr>
                <w:rFonts w:cs="Calibri"/>
                <w:szCs w:val="24"/>
              </w:rPr>
              <w:t>in</w:t>
            </w:r>
            <w:r w:rsidRPr="007D431B">
              <w:rPr>
                <w:rFonts w:cs="Calibri"/>
                <w:szCs w:val="24"/>
              </w:rPr>
              <w:t xml:space="preserve"> any year. Please remember to include a plan showing the finished floor levels and the estimated flood levels.</w:t>
            </w:r>
          </w:p>
        </w:tc>
        <w:tc>
          <w:tcPr>
            <w:tcW w:w="3776"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28771E8B" w14:textId="77777777" w:rsidR="00BB7C10" w:rsidRPr="007D431B" w:rsidRDefault="00BB7C10" w:rsidP="00EC024E">
            <w:pPr>
              <w:pStyle w:val="Standard"/>
              <w:spacing w:after="0"/>
              <w:jc w:val="center"/>
              <w:rPr>
                <w:rFonts w:cs="Calibri"/>
                <w:szCs w:val="24"/>
              </w:rPr>
            </w:pPr>
          </w:p>
        </w:tc>
      </w:tr>
    </w:tbl>
    <w:p w14:paraId="0CF0AEC6" w14:textId="77777777" w:rsidR="00BB7C10" w:rsidRPr="007D431B" w:rsidRDefault="00BB7C10" w:rsidP="00BB7C10">
      <w:pPr>
        <w:pStyle w:val="Standard"/>
        <w:suppressLineNumbers/>
        <w:spacing w:after="0"/>
        <w:jc w:val="center"/>
        <w:rPr>
          <w:rFonts w:cs="Calibri"/>
          <w:szCs w:val="24"/>
        </w:rPr>
      </w:pPr>
    </w:p>
    <w:tbl>
      <w:tblPr>
        <w:tblW w:w="9305" w:type="dxa"/>
        <w:jc w:val="center"/>
        <w:tblLayout w:type="fixed"/>
        <w:tblCellMar>
          <w:left w:w="10" w:type="dxa"/>
          <w:right w:w="10" w:type="dxa"/>
        </w:tblCellMar>
        <w:tblLook w:val="04A0" w:firstRow="1" w:lastRow="0" w:firstColumn="1" w:lastColumn="0" w:noHBand="0" w:noVBand="1"/>
      </w:tblPr>
      <w:tblGrid>
        <w:gridCol w:w="5529"/>
        <w:gridCol w:w="3776"/>
      </w:tblGrid>
      <w:tr w:rsidR="00BB7C10" w:rsidRPr="00482E28" w14:paraId="3C1F3F71" w14:textId="77777777" w:rsidTr="00EC024E">
        <w:trPr>
          <w:jc w:val="center"/>
        </w:trPr>
        <w:tc>
          <w:tcPr>
            <w:tcW w:w="552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top w:w="0" w:type="dxa"/>
              <w:left w:w="108" w:type="dxa"/>
              <w:bottom w:w="0" w:type="dxa"/>
              <w:right w:w="108" w:type="dxa"/>
            </w:tcMar>
          </w:tcPr>
          <w:p w14:paraId="086D9AF4" w14:textId="77777777" w:rsidR="00BB7C10" w:rsidRPr="00482E28" w:rsidRDefault="00BB7C10" w:rsidP="00EC024E">
            <w:pPr>
              <w:pStyle w:val="Standard"/>
              <w:spacing w:after="0"/>
              <w:jc w:val="center"/>
              <w:rPr>
                <w:rFonts w:cs="Calibri"/>
                <w:b/>
                <w:bCs/>
                <w:szCs w:val="24"/>
                <w:lang w:eastAsia="en-GB"/>
              </w:rPr>
            </w:pPr>
            <w:r w:rsidRPr="00482E28">
              <w:rPr>
                <w:rFonts w:cs="Calibri"/>
                <w:b/>
                <w:bCs/>
                <w:szCs w:val="24"/>
                <w:lang w:eastAsia="en-GB"/>
              </w:rPr>
              <w:t>Planning application number</w:t>
            </w:r>
          </w:p>
        </w:tc>
        <w:tc>
          <w:tcPr>
            <w:tcW w:w="377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top w:w="0" w:type="dxa"/>
              <w:left w:w="108" w:type="dxa"/>
              <w:bottom w:w="0" w:type="dxa"/>
              <w:right w:w="108" w:type="dxa"/>
            </w:tcMar>
          </w:tcPr>
          <w:p w14:paraId="6FDE3EE1" w14:textId="77777777" w:rsidR="00BB7C10" w:rsidRPr="00482E28" w:rsidRDefault="00BB7C10" w:rsidP="00EC024E">
            <w:pPr>
              <w:pStyle w:val="Standard"/>
              <w:spacing w:after="0"/>
              <w:jc w:val="center"/>
              <w:rPr>
                <w:rFonts w:cs="Calibri"/>
                <w:b/>
                <w:bCs/>
                <w:szCs w:val="24"/>
                <w:lang w:eastAsia="en-GB"/>
              </w:rPr>
            </w:pPr>
          </w:p>
        </w:tc>
      </w:tr>
      <w:tr w:rsidR="00BB7C10" w:rsidRPr="00482E28" w14:paraId="750D6740" w14:textId="77777777" w:rsidTr="00EC024E">
        <w:trPr>
          <w:jc w:val="center"/>
        </w:trPr>
        <w:tc>
          <w:tcPr>
            <w:tcW w:w="552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5D195B7" w14:textId="77777777" w:rsidR="00BB7C10" w:rsidRPr="00482E28" w:rsidRDefault="00BB7C10" w:rsidP="00EC024E">
            <w:pPr>
              <w:pStyle w:val="Standard"/>
              <w:spacing w:after="0"/>
              <w:jc w:val="center"/>
              <w:rPr>
                <w:b/>
                <w:bCs/>
                <w:szCs w:val="20"/>
                <w:lang w:eastAsia="en-GB"/>
              </w:rPr>
            </w:pPr>
            <w:r w:rsidRPr="00482E28">
              <w:rPr>
                <w:rFonts w:cs="Calibri"/>
                <w:b/>
                <w:bCs/>
                <w:szCs w:val="24"/>
                <w:lang w:eastAsia="en-GB"/>
              </w:rPr>
              <w:t>Site Address</w:t>
            </w:r>
          </w:p>
        </w:tc>
        <w:tc>
          <w:tcPr>
            <w:tcW w:w="377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46941C8" w14:textId="77777777" w:rsidR="00BB7C10" w:rsidRPr="00482E28" w:rsidRDefault="00BB7C10" w:rsidP="00EC024E">
            <w:pPr>
              <w:pStyle w:val="Standard"/>
              <w:spacing w:after="0"/>
              <w:jc w:val="center"/>
              <w:rPr>
                <w:rFonts w:cs="Calibri"/>
                <w:b/>
                <w:bCs/>
                <w:szCs w:val="24"/>
                <w:lang w:eastAsia="en-GB"/>
              </w:rPr>
            </w:pPr>
          </w:p>
        </w:tc>
      </w:tr>
      <w:tr w:rsidR="00BB7C10" w:rsidRPr="00482E28" w14:paraId="0D6E2AC8" w14:textId="77777777" w:rsidTr="00EC024E">
        <w:trPr>
          <w:jc w:val="center"/>
        </w:trPr>
        <w:tc>
          <w:tcPr>
            <w:tcW w:w="5529"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E3EFB09" w14:textId="77777777" w:rsidR="00BB7C10" w:rsidRPr="00482E28" w:rsidRDefault="00BB7C10" w:rsidP="00EC024E">
            <w:pPr>
              <w:pStyle w:val="Standard"/>
              <w:spacing w:after="0"/>
              <w:jc w:val="center"/>
              <w:rPr>
                <w:b/>
                <w:bCs/>
                <w:szCs w:val="20"/>
                <w:lang w:eastAsia="en-GB"/>
              </w:rPr>
            </w:pPr>
            <w:r w:rsidRPr="00482E28">
              <w:rPr>
                <w:rFonts w:cs="Calibri"/>
                <w:b/>
                <w:bCs/>
                <w:color w:val="0B0C0C"/>
                <w:szCs w:val="24"/>
                <w:lang w:eastAsia="en-GB"/>
              </w:rPr>
              <w:t>Proposal Description</w:t>
            </w:r>
          </w:p>
        </w:tc>
        <w:tc>
          <w:tcPr>
            <w:tcW w:w="3776"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1315A9D" w14:textId="77777777" w:rsidR="00BB7C10" w:rsidRPr="00482E28" w:rsidRDefault="00BB7C10" w:rsidP="00EC024E">
            <w:pPr>
              <w:pStyle w:val="Standard"/>
              <w:spacing w:after="0"/>
              <w:jc w:val="center"/>
              <w:rPr>
                <w:rFonts w:cs="Calibri"/>
                <w:szCs w:val="24"/>
                <w:lang w:eastAsia="en-GB"/>
              </w:rPr>
            </w:pPr>
          </w:p>
        </w:tc>
      </w:tr>
      <w:tr w:rsidR="00BB7C10" w:rsidRPr="00482E28" w14:paraId="1F575E71" w14:textId="77777777" w:rsidTr="00EC024E">
        <w:trPr>
          <w:jc w:val="center"/>
        </w:trPr>
        <w:tc>
          <w:tcPr>
            <w:tcW w:w="552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66BE3F1" w14:textId="2847B6BB" w:rsidR="00BB7C10" w:rsidRPr="00482E28" w:rsidRDefault="00BB7C10" w:rsidP="00EC024E">
            <w:pPr>
              <w:pStyle w:val="Standard"/>
              <w:spacing w:after="0"/>
              <w:jc w:val="center"/>
              <w:rPr>
                <w:b/>
                <w:bCs/>
                <w:szCs w:val="20"/>
                <w:lang w:eastAsia="en-GB"/>
              </w:rPr>
            </w:pPr>
            <w:r w:rsidRPr="00482E28">
              <w:rPr>
                <w:rFonts w:cs="Calibri"/>
                <w:b/>
                <w:bCs/>
                <w:color w:val="0B0C0C"/>
                <w:szCs w:val="24"/>
                <w:lang w:eastAsia="en-GB"/>
              </w:rPr>
              <w:t>Estimated flood level</w:t>
            </w:r>
            <w:r w:rsidRPr="00482E28">
              <w:rPr>
                <w:rFonts w:cs="Calibri"/>
                <w:b/>
                <w:bCs/>
                <w:color w:val="0B0C0C"/>
                <w:szCs w:val="24"/>
                <w:lang w:eastAsia="en-GB"/>
              </w:rPr>
              <w:br/>
              <w:t xml:space="preserve">(i.e. The </w:t>
            </w:r>
            <w:r w:rsidR="005D455A">
              <w:rPr>
                <w:rFonts w:cs="Calibri"/>
                <w:b/>
                <w:bCs/>
                <w:color w:val="0B0C0C"/>
                <w:szCs w:val="24"/>
                <w:lang w:eastAsia="en-GB"/>
              </w:rPr>
              <w:t>1% (</w:t>
            </w:r>
            <w:r w:rsidRPr="00482E28">
              <w:rPr>
                <w:rFonts w:cs="Calibri"/>
                <w:b/>
                <w:bCs/>
                <w:color w:val="0B0C0C"/>
                <w:szCs w:val="24"/>
                <w:lang w:eastAsia="en-GB"/>
              </w:rPr>
              <w:t>1 in 100-year</w:t>
            </w:r>
            <w:r w:rsidR="005D455A">
              <w:rPr>
                <w:rFonts w:cs="Calibri"/>
                <w:b/>
                <w:bCs/>
                <w:color w:val="0B0C0C"/>
                <w:szCs w:val="24"/>
                <w:lang w:eastAsia="en-GB"/>
              </w:rPr>
              <w:t>)</w:t>
            </w:r>
            <w:r w:rsidRPr="00482E28">
              <w:rPr>
                <w:rFonts w:cs="Calibri"/>
                <w:b/>
                <w:bCs/>
                <w:color w:val="0B0C0C"/>
                <w:szCs w:val="24"/>
                <w:lang w:eastAsia="en-GB"/>
              </w:rPr>
              <w:t xml:space="preserve"> flood level</w:t>
            </w:r>
            <w:r w:rsidR="005D455A">
              <w:rPr>
                <w:rFonts w:cs="Calibri"/>
                <w:b/>
                <w:bCs/>
                <w:color w:val="0B0C0C"/>
                <w:szCs w:val="24"/>
                <w:lang w:eastAsia="en-GB"/>
              </w:rPr>
              <w:t xml:space="preserve"> plus climate change of the 0.5% (1 in 200-year) flood level plus climate change</w:t>
            </w:r>
            <w:r w:rsidRPr="00482E28">
              <w:rPr>
                <w:rFonts w:cs="Calibri"/>
                <w:b/>
                <w:bCs/>
                <w:color w:val="0B0C0C"/>
                <w:szCs w:val="24"/>
                <w:lang w:eastAsia="en-GB"/>
              </w:rPr>
              <w:t>)</w:t>
            </w:r>
          </w:p>
        </w:tc>
        <w:tc>
          <w:tcPr>
            <w:tcW w:w="377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414719E" w14:textId="77777777" w:rsidR="00BB7C10" w:rsidRPr="00482E28" w:rsidRDefault="00BB7C10" w:rsidP="00EC024E">
            <w:pPr>
              <w:pStyle w:val="Standard"/>
              <w:spacing w:after="0"/>
              <w:jc w:val="center"/>
              <w:rPr>
                <w:rFonts w:cs="Calibri"/>
                <w:szCs w:val="24"/>
                <w:lang w:eastAsia="en-GB"/>
              </w:rPr>
            </w:pPr>
          </w:p>
        </w:tc>
      </w:tr>
      <w:tr w:rsidR="00BB7C10" w:rsidRPr="007D431B" w14:paraId="28F0D748" w14:textId="77777777" w:rsidTr="00EC024E">
        <w:trPr>
          <w:jc w:val="center"/>
        </w:trPr>
        <w:tc>
          <w:tcPr>
            <w:tcW w:w="5529"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5CED6AF" w14:textId="77777777" w:rsidR="00BB7C10" w:rsidRPr="007D431B" w:rsidRDefault="00BB7C10" w:rsidP="00EC024E">
            <w:pPr>
              <w:pStyle w:val="Standard"/>
              <w:spacing w:after="0"/>
              <w:jc w:val="center"/>
              <w:rPr>
                <w:b/>
                <w:bCs/>
                <w:szCs w:val="20"/>
                <w:lang w:eastAsia="en-GB"/>
              </w:rPr>
            </w:pPr>
            <w:r w:rsidRPr="00482E28">
              <w:rPr>
                <w:rFonts w:cs="Calibri"/>
                <w:b/>
                <w:bCs/>
                <w:color w:val="0B0C0C"/>
                <w:szCs w:val="24"/>
                <w:lang w:eastAsia="en-GB"/>
              </w:rPr>
              <w:t>Details of flood resilience and resistance measures</w:t>
            </w:r>
          </w:p>
        </w:tc>
        <w:tc>
          <w:tcPr>
            <w:tcW w:w="3776"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B0EFC46" w14:textId="77777777" w:rsidR="00BB7C10" w:rsidRPr="007D431B" w:rsidRDefault="00BB7C10" w:rsidP="00EC024E">
            <w:pPr>
              <w:pStyle w:val="Standard"/>
              <w:spacing w:after="0"/>
              <w:jc w:val="center"/>
              <w:rPr>
                <w:rFonts w:cs="Calibri"/>
                <w:szCs w:val="24"/>
                <w:lang w:eastAsia="en-GB"/>
              </w:rPr>
            </w:pPr>
          </w:p>
        </w:tc>
      </w:tr>
    </w:tbl>
    <w:p w14:paraId="5039C08B" w14:textId="77777777" w:rsidR="00D04557" w:rsidRDefault="00D04557"/>
    <w:sectPr w:rsidR="00D045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7EE73" w14:textId="77777777" w:rsidR="00C62D20" w:rsidRDefault="00C62D20" w:rsidP="00BB7C10">
      <w:pPr>
        <w:spacing w:after="0" w:line="240" w:lineRule="auto"/>
      </w:pPr>
      <w:r>
        <w:separator/>
      </w:r>
    </w:p>
  </w:endnote>
  <w:endnote w:type="continuationSeparator" w:id="0">
    <w:p w14:paraId="2A787853" w14:textId="77777777" w:rsidR="00C62D20" w:rsidRDefault="00C62D20" w:rsidP="00BB7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850C1" w14:textId="77777777" w:rsidR="00BB7C10" w:rsidRPr="007D431B" w:rsidRDefault="00BB7C10">
    <w:pPr>
      <w:pStyle w:val="Footer"/>
      <w:jc w:val="right"/>
    </w:pPr>
    <w:r w:rsidRPr="007D431B">
      <w:fldChar w:fldCharType="begin"/>
    </w:r>
    <w:r w:rsidRPr="007D431B">
      <w:instrText xml:space="preserve"> PAGE </w:instrText>
    </w:r>
    <w:r w:rsidRPr="007D431B">
      <w:fldChar w:fldCharType="separate"/>
    </w:r>
    <w:r w:rsidRPr="007D431B">
      <w:t>415</w:t>
    </w:r>
    <w:r w:rsidRPr="007D431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A44F5" w14:textId="77777777" w:rsidR="00C62D20" w:rsidRDefault="00C62D20" w:rsidP="00BB7C10">
      <w:pPr>
        <w:spacing w:after="0" w:line="240" w:lineRule="auto"/>
      </w:pPr>
      <w:r>
        <w:separator/>
      </w:r>
    </w:p>
  </w:footnote>
  <w:footnote w:type="continuationSeparator" w:id="0">
    <w:p w14:paraId="67201C4F" w14:textId="77777777" w:rsidR="00C62D20" w:rsidRDefault="00C62D20" w:rsidP="00BB7C10">
      <w:pPr>
        <w:spacing w:after="0" w:line="240" w:lineRule="auto"/>
      </w:pPr>
      <w:r>
        <w:continuationSeparator/>
      </w:r>
    </w:p>
  </w:footnote>
  <w:footnote w:id="1">
    <w:p w14:paraId="0EE57F76" w14:textId="0849175C" w:rsidR="005D455A" w:rsidRPr="00F00426" w:rsidRDefault="005D455A">
      <w:pPr>
        <w:pStyle w:val="FootnoteText"/>
        <w:rPr>
          <w:rFonts w:cs="Calibri"/>
        </w:rPr>
      </w:pPr>
      <w:r w:rsidRPr="00F00426">
        <w:rPr>
          <w:rStyle w:val="FootnoteReference"/>
          <w:rFonts w:cs="Calibri"/>
        </w:rPr>
        <w:footnoteRef/>
      </w:r>
      <w:r w:rsidRPr="00F00426">
        <w:rPr>
          <w:rFonts w:cs="Calibri"/>
        </w:rPr>
        <w:t xml:space="preserve"> </w:t>
      </w:r>
      <w:hyperlink r:id="rId1" w:history="1">
        <w:r w:rsidRPr="00F00426">
          <w:rPr>
            <w:rStyle w:val="Hyperlink"/>
            <w:rFonts w:cs="Calibri"/>
            <w:lang w:val="da-DK"/>
          </w:rPr>
          <w:t>What to include in your Flood Risk Assessment</w:t>
        </w:r>
      </w:hyperlink>
    </w:p>
  </w:footnote>
  <w:footnote w:id="2">
    <w:p w14:paraId="7251DE1C" w14:textId="77777777" w:rsidR="00BB7C10" w:rsidRPr="00F00426" w:rsidRDefault="00BB7C10" w:rsidP="00BB7C10">
      <w:pPr>
        <w:pStyle w:val="Footnote"/>
        <w:rPr>
          <w:rFonts w:cs="Calibri"/>
          <w:sz w:val="20"/>
        </w:rPr>
      </w:pPr>
      <w:r w:rsidRPr="00F00426">
        <w:rPr>
          <w:rFonts w:cs="Calibri"/>
          <w:sz w:val="20"/>
          <w:vertAlign w:val="superscript"/>
        </w:rPr>
        <w:footnoteRef/>
      </w:r>
      <w:r w:rsidRPr="00F00426">
        <w:rPr>
          <w:rFonts w:cs="Calibri"/>
          <w:sz w:val="20"/>
          <w:vertAlign w:val="superscript"/>
        </w:rPr>
        <w:t xml:space="preserve"> </w:t>
      </w:r>
      <w:hyperlink r:id="rId2" w:anchor="para51" w:history="1">
        <w:r w:rsidRPr="00F00426">
          <w:rPr>
            <w:rStyle w:val="Hyperlink"/>
            <w:rFonts w:cs="Calibri"/>
            <w:sz w:val="20"/>
          </w:rPr>
          <w:t>Flood risk and coastal change: The flood risk issues raised by minor developments - GOV.UK</w:t>
        </w:r>
      </w:hyperlink>
      <w:r w:rsidRPr="00F00426">
        <w:rPr>
          <w:rFonts w:cs="Calibri"/>
          <w:sz w:val="20"/>
        </w:rPr>
        <w:t xml:space="preserve"> </w:t>
      </w:r>
    </w:p>
  </w:footnote>
  <w:footnote w:id="3">
    <w:p w14:paraId="49C2BD7A" w14:textId="77777777" w:rsidR="00BB7C10" w:rsidRPr="00A81231" w:rsidRDefault="00BB7C10" w:rsidP="00BB7C10">
      <w:pPr>
        <w:pStyle w:val="Footnote"/>
        <w:rPr>
          <w:rFonts w:asciiTheme="minorHAnsi" w:hAnsiTheme="minorHAnsi" w:cstheme="minorHAnsi"/>
          <w:szCs w:val="16"/>
          <w:lang w:val="da-DK"/>
        </w:rPr>
      </w:pPr>
      <w:r w:rsidRPr="00F00426">
        <w:rPr>
          <w:rFonts w:cs="Calibri"/>
          <w:sz w:val="20"/>
          <w:vertAlign w:val="superscript"/>
        </w:rPr>
        <w:footnoteRef/>
      </w:r>
      <w:r w:rsidRPr="00F00426">
        <w:rPr>
          <w:rFonts w:cs="Calibri"/>
          <w:sz w:val="20"/>
          <w:vertAlign w:val="superscript"/>
          <w:lang w:val="da-DK"/>
        </w:rPr>
        <w:t xml:space="preserve"> </w:t>
      </w:r>
      <w:r w:rsidRPr="00F00426">
        <w:rPr>
          <w:rFonts w:cs="Calibri"/>
          <w:sz w:val="20"/>
          <w:lang w:val="da-DK"/>
        </w:rPr>
        <w:t xml:space="preserve">OS MAPS </w:t>
      </w:r>
      <w:hyperlink r:id="rId3" w:history="1">
        <w:r w:rsidRPr="00F00426">
          <w:rPr>
            <w:rStyle w:val="Hyperlink"/>
            <w:rFonts w:cs="Calibri"/>
            <w:sz w:val="20"/>
            <w:lang w:val="da-DK"/>
          </w:rPr>
          <w:t>www.explore.osmaps.com</w:t>
        </w:r>
      </w:hyperlink>
      <w:r>
        <w:rPr>
          <w:rFonts w:asciiTheme="minorHAnsi" w:hAnsiTheme="minorHAnsi" w:cstheme="minorHAnsi"/>
          <w:szCs w:val="16"/>
          <w:lang w:val="da-DK"/>
        </w:rPr>
        <w:t xml:space="preserve"> </w:t>
      </w:r>
    </w:p>
  </w:footnote>
  <w:footnote w:id="4">
    <w:p w14:paraId="4EEBBAF9" w14:textId="77777777" w:rsidR="00BB7C10" w:rsidRPr="00DF337A" w:rsidRDefault="00BB7C10" w:rsidP="00BB7C10">
      <w:pPr>
        <w:pStyle w:val="Footnote"/>
        <w:rPr>
          <w:rFonts w:asciiTheme="minorHAnsi" w:hAnsiTheme="minorHAnsi" w:cstheme="minorHAnsi"/>
          <w:szCs w:val="16"/>
        </w:rPr>
      </w:pPr>
      <w:r w:rsidRPr="00DF337A">
        <w:rPr>
          <w:rFonts w:asciiTheme="minorHAnsi" w:hAnsiTheme="minorHAnsi" w:cstheme="minorHAnsi"/>
          <w:szCs w:val="16"/>
          <w:vertAlign w:val="superscript"/>
        </w:rPr>
        <w:footnoteRef/>
      </w:r>
      <w:r w:rsidRPr="00DF337A">
        <w:rPr>
          <w:rFonts w:asciiTheme="minorHAnsi" w:hAnsiTheme="minorHAnsi" w:cstheme="minorHAnsi"/>
          <w:szCs w:val="16"/>
          <w:vertAlign w:val="superscript"/>
        </w:rPr>
        <w:t xml:space="preserve"> </w:t>
      </w:r>
      <w:hyperlink r:id="rId4" w:anchor="exemptions" w:history="1">
        <w:r w:rsidRPr="00DF337A">
          <w:rPr>
            <w:rStyle w:val="Internetlink"/>
            <w:rFonts w:asciiTheme="minorHAnsi" w:hAnsiTheme="minorHAnsi" w:cstheme="minorHAnsi"/>
            <w:szCs w:val="16"/>
          </w:rPr>
          <w:t>Flood risk activities: environmental permits - Exemptions (www.gov.uk)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01AC9" w14:textId="77777777" w:rsidR="00BB7C10" w:rsidRDefault="00BB7C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B6381" w14:textId="77777777" w:rsidR="00BB7C10" w:rsidRDefault="00BB7C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577AC" w14:textId="77777777" w:rsidR="00BB7C10" w:rsidRDefault="00BB7C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C10"/>
    <w:rsid w:val="000051F6"/>
    <w:rsid w:val="001D67CE"/>
    <w:rsid w:val="002E6C86"/>
    <w:rsid w:val="005C3C37"/>
    <w:rsid w:val="005D455A"/>
    <w:rsid w:val="0091184B"/>
    <w:rsid w:val="00BB7C10"/>
    <w:rsid w:val="00C62D20"/>
    <w:rsid w:val="00D04557"/>
    <w:rsid w:val="00F00426"/>
    <w:rsid w:val="00F743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85B6E"/>
  <w15:chartTrackingRefBased/>
  <w15:docId w15:val="{796CFBA1-59A9-4E0D-BAD2-1E4AEEA45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C10"/>
    <w:pPr>
      <w:spacing w:after="200" w:line="276" w:lineRule="auto"/>
    </w:pPr>
    <w:rPr>
      <w:rFonts w:ascii="Calibri" w:eastAsia="Calibri" w:hAnsi="Calibri" w:cs="Times New Roman"/>
      <w:kern w:val="0"/>
      <w:szCs w:val="22"/>
      <w14:ligatures w14:val="none"/>
    </w:rPr>
  </w:style>
  <w:style w:type="paragraph" w:styleId="Heading1">
    <w:name w:val="heading 1"/>
    <w:basedOn w:val="Normal"/>
    <w:next w:val="Normal"/>
    <w:link w:val="Heading1Char"/>
    <w:uiPriority w:val="9"/>
    <w:qFormat/>
    <w:rsid w:val="00BB7C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B7C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C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C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BB7C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BB7C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BB7C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BB7C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BB7C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C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B7C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C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C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C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C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C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C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C10"/>
    <w:rPr>
      <w:rFonts w:eastAsiaTheme="majorEastAsia" w:cstheme="majorBidi"/>
      <w:color w:val="272727" w:themeColor="text1" w:themeTint="D8"/>
    </w:rPr>
  </w:style>
  <w:style w:type="paragraph" w:styleId="Title">
    <w:name w:val="Title"/>
    <w:basedOn w:val="Normal"/>
    <w:next w:val="Normal"/>
    <w:link w:val="TitleChar"/>
    <w:uiPriority w:val="10"/>
    <w:qFormat/>
    <w:rsid w:val="00BB7C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C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C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C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C10"/>
    <w:pPr>
      <w:spacing w:before="160"/>
      <w:jc w:val="center"/>
    </w:pPr>
    <w:rPr>
      <w:i/>
      <w:iCs/>
      <w:color w:val="404040" w:themeColor="text1" w:themeTint="BF"/>
    </w:rPr>
  </w:style>
  <w:style w:type="character" w:customStyle="1" w:styleId="QuoteChar">
    <w:name w:val="Quote Char"/>
    <w:basedOn w:val="DefaultParagraphFont"/>
    <w:link w:val="Quote"/>
    <w:uiPriority w:val="29"/>
    <w:rsid w:val="00BB7C10"/>
    <w:rPr>
      <w:i/>
      <w:iCs/>
      <w:color w:val="404040" w:themeColor="text1" w:themeTint="BF"/>
    </w:rPr>
  </w:style>
  <w:style w:type="paragraph" w:styleId="ListParagraph">
    <w:name w:val="List Paragraph"/>
    <w:basedOn w:val="Normal"/>
    <w:uiPriority w:val="34"/>
    <w:qFormat/>
    <w:rsid w:val="00BB7C10"/>
    <w:pPr>
      <w:ind w:left="720"/>
      <w:contextualSpacing/>
    </w:pPr>
  </w:style>
  <w:style w:type="character" w:styleId="IntenseEmphasis">
    <w:name w:val="Intense Emphasis"/>
    <w:basedOn w:val="DefaultParagraphFont"/>
    <w:uiPriority w:val="21"/>
    <w:qFormat/>
    <w:rsid w:val="00BB7C10"/>
    <w:rPr>
      <w:i/>
      <w:iCs/>
      <w:color w:val="0F4761" w:themeColor="accent1" w:themeShade="BF"/>
    </w:rPr>
  </w:style>
  <w:style w:type="paragraph" w:styleId="IntenseQuote">
    <w:name w:val="Intense Quote"/>
    <w:basedOn w:val="Normal"/>
    <w:next w:val="Normal"/>
    <w:link w:val="IntenseQuoteChar"/>
    <w:uiPriority w:val="30"/>
    <w:qFormat/>
    <w:rsid w:val="00BB7C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C10"/>
    <w:rPr>
      <w:i/>
      <w:iCs/>
      <w:color w:val="0F4761" w:themeColor="accent1" w:themeShade="BF"/>
    </w:rPr>
  </w:style>
  <w:style w:type="character" w:styleId="IntenseReference">
    <w:name w:val="Intense Reference"/>
    <w:basedOn w:val="DefaultParagraphFont"/>
    <w:uiPriority w:val="32"/>
    <w:qFormat/>
    <w:rsid w:val="00BB7C10"/>
    <w:rPr>
      <w:b/>
      <w:bCs/>
      <w:smallCaps/>
      <w:color w:val="0F4761" w:themeColor="accent1" w:themeShade="BF"/>
      <w:spacing w:val="5"/>
    </w:rPr>
  </w:style>
  <w:style w:type="paragraph" w:styleId="Footer">
    <w:name w:val="footer"/>
    <w:basedOn w:val="Normal"/>
    <w:link w:val="FooterChar"/>
    <w:unhideWhenUsed/>
    <w:rsid w:val="00BB7C10"/>
    <w:pPr>
      <w:tabs>
        <w:tab w:val="center" w:pos="4513"/>
        <w:tab w:val="right" w:pos="9026"/>
      </w:tabs>
      <w:spacing w:after="0" w:line="240" w:lineRule="auto"/>
    </w:pPr>
    <w:rPr>
      <w:sz w:val="20"/>
    </w:rPr>
  </w:style>
  <w:style w:type="character" w:customStyle="1" w:styleId="FooterChar">
    <w:name w:val="Footer Char"/>
    <w:basedOn w:val="DefaultParagraphFont"/>
    <w:link w:val="Footer"/>
    <w:rsid w:val="00BB7C10"/>
    <w:rPr>
      <w:rFonts w:ascii="Calibri" w:eastAsia="Calibri" w:hAnsi="Calibri" w:cs="Times New Roman"/>
      <w:kern w:val="0"/>
      <w:sz w:val="20"/>
      <w:szCs w:val="22"/>
      <w14:ligatures w14:val="none"/>
    </w:rPr>
  </w:style>
  <w:style w:type="paragraph" w:styleId="Header">
    <w:name w:val="header"/>
    <w:basedOn w:val="Normal"/>
    <w:link w:val="HeaderChar"/>
    <w:unhideWhenUsed/>
    <w:rsid w:val="00BB7C10"/>
    <w:pPr>
      <w:tabs>
        <w:tab w:val="center" w:pos="4513"/>
        <w:tab w:val="right" w:pos="9026"/>
      </w:tabs>
      <w:spacing w:after="0" w:line="240" w:lineRule="auto"/>
    </w:pPr>
  </w:style>
  <w:style w:type="character" w:customStyle="1" w:styleId="HeaderChar">
    <w:name w:val="Header Char"/>
    <w:basedOn w:val="DefaultParagraphFont"/>
    <w:link w:val="Header"/>
    <w:rsid w:val="00BB7C10"/>
    <w:rPr>
      <w:rFonts w:ascii="Calibri" w:eastAsia="Calibri" w:hAnsi="Calibri" w:cs="Times New Roman"/>
      <w:kern w:val="0"/>
      <w:szCs w:val="22"/>
      <w14:ligatures w14:val="none"/>
    </w:rPr>
  </w:style>
  <w:style w:type="character" w:styleId="Hyperlink">
    <w:name w:val="Hyperlink"/>
    <w:basedOn w:val="DefaultParagraphFont"/>
    <w:uiPriority w:val="99"/>
    <w:unhideWhenUsed/>
    <w:qFormat/>
    <w:rsid w:val="00BB7C10"/>
    <w:rPr>
      <w:color w:val="467886" w:themeColor="hyperlink"/>
      <w:u w:val="single"/>
    </w:rPr>
  </w:style>
  <w:style w:type="paragraph" w:customStyle="1" w:styleId="Standard">
    <w:name w:val="Standard"/>
    <w:rsid w:val="00BB7C10"/>
    <w:pPr>
      <w:suppressAutoHyphens/>
      <w:autoSpaceDN w:val="0"/>
      <w:spacing w:after="200" w:line="276" w:lineRule="auto"/>
      <w:textAlignment w:val="baseline"/>
    </w:pPr>
    <w:rPr>
      <w:rFonts w:ascii="Calibri" w:eastAsia="Calibri" w:hAnsi="Calibri" w:cs="Times New Roman"/>
      <w:kern w:val="0"/>
      <w:szCs w:val="22"/>
      <w14:ligatures w14:val="none"/>
    </w:rPr>
  </w:style>
  <w:style w:type="paragraph" w:customStyle="1" w:styleId="Footnote">
    <w:name w:val="Footnote"/>
    <w:basedOn w:val="Normal"/>
    <w:qFormat/>
    <w:rsid w:val="00BB7C10"/>
    <w:pPr>
      <w:suppressAutoHyphens/>
      <w:autoSpaceDN w:val="0"/>
      <w:spacing w:after="0" w:line="240" w:lineRule="auto"/>
      <w:textAlignment w:val="baseline"/>
    </w:pPr>
    <w:rPr>
      <w:sz w:val="16"/>
      <w:szCs w:val="20"/>
    </w:rPr>
  </w:style>
  <w:style w:type="character" w:customStyle="1" w:styleId="Internetlink">
    <w:name w:val="Internet link"/>
    <w:basedOn w:val="DefaultParagraphFont"/>
    <w:qFormat/>
    <w:rsid w:val="00BB7C10"/>
    <w:rPr>
      <w:rFonts w:ascii="Calibri" w:hAnsi="Calibri"/>
      <w:color w:val="0563C1"/>
      <w:sz w:val="24"/>
      <w:u w:val="single"/>
    </w:rPr>
  </w:style>
  <w:style w:type="paragraph" w:styleId="Revision">
    <w:name w:val="Revision"/>
    <w:hidden/>
    <w:uiPriority w:val="99"/>
    <w:semiHidden/>
    <w:rsid w:val="005D455A"/>
    <w:pPr>
      <w:spacing w:after="0" w:line="240" w:lineRule="auto"/>
    </w:pPr>
    <w:rPr>
      <w:rFonts w:ascii="Calibri" w:eastAsia="Calibri" w:hAnsi="Calibri" w:cs="Times New Roman"/>
      <w:kern w:val="0"/>
      <w:szCs w:val="22"/>
      <w14:ligatures w14:val="none"/>
    </w:rPr>
  </w:style>
  <w:style w:type="paragraph" w:styleId="FootnoteText">
    <w:name w:val="footnote text"/>
    <w:basedOn w:val="Normal"/>
    <w:link w:val="FootnoteTextChar"/>
    <w:uiPriority w:val="99"/>
    <w:semiHidden/>
    <w:unhideWhenUsed/>
    <w:rsid w:val="005D45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455A"/>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5D455A"/>
    <w:rPr>
      <w:vertAlign w:val="superscript"/>
    </w:rPr>
  </w:style>
  <w:style w:type="character" w:styleId="FollowedHyperlink">
    <w:name w:val="FollowedHyperlink"/>
    <w:basedOn w:val="DefaultParagraphFont"/>
    <w:uiPriority w:val="99"/>
    <w:semiHidden/>
    <w:unhideWhenUsed/>
    <w:rsid w:val="005D455A"/>
    <w:rPr>
      <w:color w:val="96607D" w:themeColor="followedHyperlink"/>
      <w:u w:val="single"/>
    </w:rPr>
  </w:style>
  <w:style w:type="character" w:styleId="UnresolvedMention">
    <w:name w:val="Unresolved Mention"/>
    <w:basedOn w:val="DefaultParagraphFont"/>
    <w:uiPriority w:val="99"/>
    <w:semiHidden/>
    <w:unhideWhenUsed/>
    <w:rsid w:val="00005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flood-resilient-construction-of-new-building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uidance/flood-risk-assessment-flood-zones-1-2-3-and-3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lood.permitting@environment-agency.gov.uk"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oads-authority.gov.uk/__data/assets/pdf_file/0017/114452/Broads-Flood-Risk-SPD-2020.pdf" TargetMode="External"/><Relationship Id="rId5" Type="http://schemas.openxmlformats.org/officeDocument/2006/relationships/customXml" Target="../customXml/item5.xml"/><Relationship Id="rId15" Type="http://schemas.openxmlformats.org/officeDocument/2006/relationships/hyperlink" Target="https://www.gov.uk/guidance/flood-risk-activities-environmental-permit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ies@environment-agency.gov.uk"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explore.osmaps.com" TargetMode="External"/><Relationship Id="rId2" Type="http://schemas.openxmlformats.org/officeDocument/2006/relationships/hyperlink" Target="https://www.gov.uk/guidance/flood-risk-and-coastal-change" TargetMode="External"/><Relationship Id="rId1" Type="http://schemas.openxmlformats.org/officeDocument/2006/relationships/hyperlink" Target="https://www.planningportal.co.uk/permission/commercial-developments/understanding-and-assessing-flood-risk/your-flood-risk-assessment" TargetMode="External"/><Relationship Id="rId4" Type="http://schemas.openxmlformats.org/officeDocument/2006/relationships/hyperlink" Target="https://www.gov.uk/guidance/flood-risk-activities-environmental-perm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EE74762C9592134DA45ECF5072C83511" ma:contentTypeVersion="32" ma:contentTypeDescription="Create a new document." ma:contentTypeScope="" ma:versionID="938adea610415818441ebc867c7322ca">
  <xsd:schema xmlns:xsd="http://www.w3.org/2001/XMLSchema" xmlns:xs="http://www.w3.org/2001/XMLSchema" xmlns:p="http://schemas.microsoft.com/office/2006/metadata/properties" xmlns:ns2="662745e8-e224-48e8-a2e3-254862b8c2f5" xmlns:ns3="5d1a0e6c-e2c1-4a8b-9331-ee43dfab1f5a" xmlns:ns4="afcc6769-6515-4f99-a3ce-be530505a0ee" targetNamespace="http://schemas.microsoft.com/office/2006/metadata/properties" ma:root="true" ma:fieldsID="7d24a330f84dbd6b5e4e564b3f4834ed" ns2:_="" ns3:_="" ns4:_="">
    <xsd:import namespace="662745e8-e224-48e8-a2e3-254862b8c2f5"/>
    <xsd:import namespace="5d1a0e6c-e2c1-4a8b-9331-ee43dfab1f5a"/>
    <xsd:import namespace="afcc6769-6515-4f99-a3ce-be530505a0e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SearchProperties"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DateTaken" minOccurs="0"/>
                <xsd:element ref="ns3:MediaLengthInSeconds"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52b9964-c301-41ff-b985-0050be16aacd}" ma:internalName="TaxCatchAll" ma:showField="CatchAllData" ma:web="afcc6769-6515-4f99-a3ce-be530505a0e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52b9964-c301-41ff-b985-0050be16aacd}" ma:internalName="TaxCatchAllLabel" ma:readOnly="true" ma:showField="CatchAllDataLabel" ma:web="afcc6769-6515-4f99-a3ce-be530505a0e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East Anglia Area Online" ma:internalName="Team" ma:readOnly="false">
      <xsd:simpleType>
        <xsd:restriction base="dms:Text"/>
      </xsd:simpleType>
    </xsd:element>
    <xsd:element name="Topic" ma:index="20" nillable="true" ma:displayName="Topic" ma:default="EAn SP"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EA|b77da37e-7166-4741-8c12-4679faab22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1a0e6c-e2c1-4a8b-9331-ee43dfab1f5a" elementFormDefault="qualified">
    <xsd:import namespace="http://schemas.microsoft.com/office/2006/documentManagement/types"/>
    <xsd:import namespace="http://schemas.microsoft.com/office/infopath/2007/PartnerControls"/>
    <xsd:element name="MediaServiceSearchProperties" ma:index="25" nillable="true" ma:displayName="MediaServiceSearchProperties" ma:hidden="true" ma:internalName="MediaServiceSearchProperties" ma:readOnly="true">
      <xsd:simpleType>
        <xsd:restriction base="dms:Note"/>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dexed="true" ma:internalName="MediaServiceDateTaken"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Location" ma:index="3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cc6769-6515-4f99-a3ce-be530505a0ee"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EAn SP</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EA</TermName>
          <TermId xmlns="http://schemas.microsoft.com/office/infopath/2007/PartnerControls">b77da37e-7166-4741-8c12-4679faab22d9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lcf76f155ced4ddcb4097134ff3c332f xmlns="5d1a0e6c-e2c1-4a8b-9331-ee43dfab1f5a">
      <Terms xmlns="http://schemas.microsoft.com/office/infopath/2007/PartnerControls"/>
    </lcf76f155ced4ddcb4097134ff3c332f>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East Anglia Area Online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7EB1A5E0-68CC-448A-8909-2303751AF076}">
  <ds:schemaRefs>
    <ds:schemaRef ds:uri="http://schemas.openxmlformats.org/officeDocument/2006/bibliography"/>
  </ds:schemaRefs>
</ds:datastoreItem>
</file>

<file path=customXml/itemProps2.xml><?xml version="1.0" encoding="utf-8"?>
<ds:datastoreItem xmlns:ds="http://schemas.openxmlformats.org/officeDocument/2006/customXml" ds:itemID="{A8122F9B-B88F-4358-93F8-5B6F3028B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5d1a0e6c-e2c1-4a8b-9331-ee43dfab1f5a"/>
    <ds:schemaRef ds:uri="afcc6769-6515-4f99-a3ce-be530505a0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47779F-9EC7-4435-A97D-97C41A8A6DFF}">
  <ds:schemaRefs>
    <ds:schemaRef ds:uri="Microsoft.SharePoint.Taxonomy.ContentTypeSync"/>
  </ds:schemaRefs>
</ds:datastoreItem>
</file>

<file path=customXml/itemProps4.xml><?xml version="1.0" encoding="utf-8"?>
<ds:datastoreItem xmlns:ds="http://schemas.openxmlformats.org/officeDocument/2006/customXml" ds:itemID="{EE7C3BF6-225E-4028-A984-C780B862CCAD}">
  <ds:schemaRefs>
    <ds:schemaRef ds:uri="http://schemas.microsoft.com/sharepoint/v3/contenttype/forms"/>
  </ds:schemaRefs>
</ds:datastoreItem>
</file>

<file path=customXml/itemProps5.xml><?xml version="1.0" encoding="utf-8"?>
<ds:datastoreItem xmlns:ds="http://schemas.openxmlformats.org/officeDocument/2006/customXml" ds:itemID="{877DA07C-6CFE-4659-AF72-0C31DE3DA897}">
  <ds:schemaRefs>
    <ds:schemaRef ds:uri="http://purl.org/dc/terms/"/>
    <ds:schemaRef ds:uri="afcc6769-6515-4f99-a3ce-be530505a0ee"/>
    <ds:schemaRef ds:uri="http://purl.org/dc/elements/1.1/"/>
    <ds:schemaRef ds:uri="http://schemas.microsoft.com/office/2006/documentManagement/types"/>
    <ds:schemaRef ds:uri="5d1a0e6c-e2c1-4a8b-9331-ee43dfab1f5a"/>
    <ds:schemaRef ds:uri="http://schemas.microsoft.com/office/2006/metadata/properties"/>
    <ds:schemaRef ds:uri="http://purl.org/dc/dcmitype/"/>
    <ds:schemaRef ds:uri="http://schemas.microsoft.com/office/infopath/2007/PartnerControls"/>
    <ds:schemaRef ds:uri="http://schemas.openxmlformats.org/package/2006/metadata/core-properties"/>
    <ds:schemaRef ds:uri="662745e8-e224-48e8-a2e3-254862b8c2f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791</Words>
  <Characters>4515</Characters>
  <Application>Microsoft Office Word</Application>
  <DocSecurity>4</DocSecurity>
  <Lines>37</Lines>
  <Paragraphs>10</Paragraphs>
  <ScaleCrop>false</ScaleCrop>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Beal</dc:creator>
  <cp:keywords/>
  <dc:description/>
  <cp:lastModifiedBy>Natalie Beal</cp:lastModifiedBy>
  <cp:revision>2</cp:revision>
  <dcterms:created xsi:type="dcterms:W3CDTF">2025-11-05T16:54:00Z</dcterms:created>
  <dcterms:modified xsi:type="dcterms:W3CDTF">2025-11-05T16:54:00Z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0x010100A5BF1C78D9F64B679A5EBDE1C6598EBC0100EE74762C9592134DA45ECF5072C83511</vt:lpwstr>
  </property>
  <property fmtid="{D5CDD505-2E9C-101B-9397-08002B2CF9AE}" pid="3" name="InformationType">
    <vt:lpwstr/>
  </property>
  <property fmtid="{D5CDD505-2E9C-101B-9397-08002B2CF9AE}" pid="4" name="Distribution">
    <vt:lpwstr>9;#Internal EA|b77da37e-7166-4741-8c12-4679faab22d9</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OrganisationalUnit">
    <vt:lpwstr>8;#EA|d5f78ddb-b1b6-4328-9877-d7e3ed06fdac</vt:lpwstr>
  </property>
  <property fmtid="{D5CDD505-2E9C-101B-9397-08002B2CF9AE}" pid="9" name="HOSiteType">
    <vt:lpwstr>10;#Team|ff0485df-0575-416f-802f-e999165821b7</vt:lpwstr>
  </property>
</Properties>
</file>