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8DAD8" w14:textId="77777777" w:rsidR="004B114C" w:rsidRDefault="004B114C" w:rsidP="004B114C">
      <w:pPr>
        <w:jc w:val="right"/>
        <w:rPr>
          <w:b/>
          <w:sz w:val="56"/>
          <w:szCs w:val="56"/>
          <w:lang w:eastAsia="en-GB"/>
        </w:rPr>
      </w:pPr>
      <w:bookmarkStart w:id="0" w:name="_Toc18054353"/>
      <w:bookmarkStart w:id="1" w:name="_Toc12541773"/>
      <w:r w:rsidRPr="008A31D4">
        <w:rPr>
          <w:noProof/>
          <w:lang w:eastAsia="en-GB"/>
        </w:rPr>
        <w:drawing>
          <wp:inline distT="0" distB="0" distL="0" distR="0" wp14:anchorId="6976154C" wp14:editId="721BE32B">
            <wp:extent cx="1762125" cy="619125"/>
            <wp:effectExtent l="0" t="0" r="0" b="0"/>
            <wp:docPr id="1" name="Picture 5" descr="Broad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ads Authorit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619125"/>
                    </a:xfrm>
                    <a:prstGeom prst="rect">
                      <a:avLst/>
                    </a:prstGeom>
                    <a:noFill/>
                    <a:ln>
                      <a:noFill/>
                    </a:ln>
                  </pic:spPr>
                </pic:pic>
              </a:graphicData>
            </a:graphic>
          </wp:inline>
        </w:drawing>
      </w:r>
      <w:bookmarkEnd w:id="0"/>
    </w:p>
    <w:p w14:paraId="45E0388E" w14:textId="77777777" w:rsidR="004B114C" w:rsidRDefault="00FA1F78" w:rsidP="00C7658E">
      <w:pPr>
        <w:pStyle w:val="Title"/>
        <w:rPr>
          <w:lang w:eastAsia="en-GB"/>
        </w:rPr>
      </w:pPr>
      <w:r>
        <w:rPr>
          <w:lang w:eastAsia="en-GB"/>
        </w:rPr>
        <w:t xml:space="preserve">Infrastructure Funding Statement </w:t>
      </w:r>
    </w:p>
    <w:p w14:paraId="45E6803F" w14:textId="53FCB83C" w:rsidR="00FA1F78" w:rsidRDefault="00F867FD" w:rsidP="00A01F33">
      <w:pPr>
        <w:rPr>
          <w:lang w:eastAsia="en-GB"/>
        </w:rPr>
      </w:pPr>
      <w:bookmarkStart w:id="2" w:name="_Toc118364524"/>
      <w:r>
        <w:rPr>
          <w:lang w:eastAsia="en-GB"/>
        </w:rPr>
        <w:t>Covering the period from 1 November 202</w:t>
      </w:r>
      <w:r w:rsidR="00A01F33">
        <w:rPr>
          <w:lang w:eastAsia="en-GB"/>
        </w:rPr>
        <w:t>2</w:t>
      </w:r>
      <w:r>
        <w:rPr>
          <w:lang w:eastAsia="en-GB"/>
        </w:rPr>
        <w:t xml:space="preserve"> to 31 October 202</w:t>
      </w:r>
      <w:bookmarkEnd w:id="2"/>
      <w:r w:rsidR="00A01F33">
        <w:rPr>
          <w:lang w:eastAsia="en-GB"/>
        </w:rPr>
        <w:t>3</w:t>
      </w:r>
    </w:p>
    <w:p w14:paraId="0E604BBF" w14:textId="591535B1" w:rsidR="00F867FD" w:rsidRPr="00FA1F78" w:rsidRDefault="00F867FD" w:rsidP="00FA1F78">
      <w:pPr>
        <w:rPr>
          <w:lang w:eastAsia="en-GB"/>
        </w:rPr>
      </w:pPr>
      <w:r>
        <w:rPr>
          <w:lang w:eastAsia="en-GB"/>
        </w:rPr>
        <w:t>December 202</w:t>
      </w:r>
      <w:r w:rsidR="00A01F33">
        <w:rPr>
          <w:lang w:eastAsia="en-GB"/>
        </w:rPr>
        <w:t>3</w:t>
      </w:r>
    </w:p>
    <w:p w14:paraId="36D2BBF7" w14:textId="77777777" w:rsidR="004B114C" w:rsidRDefault="004B114C" w:rsidP="004B114C"/>
    <w:p w14:paraId="4D81CCB8" w14:textId="77777777" w:rsidR="004B114C" w:rsidRPr="0000195A" w:rsidRDefault="004B114C" w:rsidP="004B114C"/>
    <w:bookmarkEnd w:id="1"/>
    <w:p w14:paraId="07978E75" w14:textId="77777777" w:rsidR="00165787" w:rsidRDefault="00165787">
      <w:pPr>
        <w:spacing w:after="160" w:line="259" w:lineRule="auto"/>
        <w:rPr>
          <w:szCs w:val="24"/>
        </w:rPr>
      </w:pPr>
      <w:r>
        <w:rPr>
          <w:szCs w:val="24"/>
        </w:rPr>
        <w:br w:type="page"/>
      </w:r>
    </w:p>
    <w:sdt>
      <w:sdtPr>
        <w:id w:val="1895537885"/>
        <w:docPartObj>
          <w:docPartGallery w:val="Table of Contents"/>
          <w:docPartUnique/>
        </w:docPartObj>
      </w:sdtPr>
      <w:sdtEndPr>
        <w:rPr>
          <w:b/>
          <w:bCs/>
          <w:noProof/>
        </w:rPr>
      </w:sdtEndPr>
      <w:sdtContent>
        <w:p w14:paraId="02F3E381" w14:textId="77777777" w:rsidR="00A43D20" w:rsidRDefault="004B114C" w:rsidP="00C7658E">
          <w:pPr>
            <w:pStyle w:val="TOCHeading"/>
            <w:rPr>
              <w:noProof/>
            </w:rPr>
          </w:pPr>
          <w:r w:rsidRPr="004B114C">
            <w:rPr>
              <w:rFonts w:asciiTheme="minorHAnsi" w:hAnsiTheme="minorHAnsi" w:cstheme="minorHAnsi"/>
            </w:rPr>
            <w:t>Contents</w:t>
          </w:r>
          <w:r w:rsidR="00C7658E">
            <w:rPr>
              <w:bCs/>
              <w:noProof/>
            </w:rPr>
            <w:fldChar w:fldCharType="begin"/>
          </w:r>
          <w:r w:rsidR="00C7658E">
            <w:rPr>
              <w:bCs/>
              <w:noProof/>
            </w:rPr>
            <w:instrText xml:space="preserve"> TOC \o "1-2" \h \z \u </w:instrText>
          </w:r>
          <w:r w:rsidR="00C7658E">
            <w:rPr>
              <w:bCs/>
              <w:noProof/>
            </w:rPr>
            <w:fldChar w:fldCharType="separate"/>
          </w:r>
        </w:p>
        <w:p w14:paraId="616B8E53" w14:textId="73B848A1" w:rsidR="00A43D20" w:rsidRDefault="00A01F33">
          <w:pPr>
            <w:pStyle w:val="TOC2"/>
            <w:tabs>
              <w:tab w:val="right" w:leader="dot" w:pos="9016"/>
            </w:tabs>
            <w:rPr>
              <w:rFonts w:asciiTheme="minorHAnsi" w:eastAsiaTheme="minorEastAsia" w:hAnsiTheme="minorHAnsi" w:cstheme="minorBidi"/>
              <w:sz w:val="22"/>
              <w:shd w:val="clear" w:color="auto" w:fill="auto"/>
              <w:lang w:eastAsia="en-GB"/>
            </w:rPr>
          </w:pPr>
          <w:hyperlink w:anchor="_Toc118364524" w:history="1">
            <w:r w:rsidR="00A43D20" w:rsidRPr="008724F8">
              <w:rPr>
                <w:rStyle w:val="Hyperlink"/>
                <w:lang w:eastAsia="en-GB"/>
              </w:rPr>
              <w:t>Covering the period from 1 November 2021 to 31 October 2022</w:t>
            </w:r>
            <w:r w:rsidR="00A43D20">
              <w:rPr>
                <w:webHidden/>
              </w:rPr>
              <w:tab/>
            </w:r>
            <w:r w:rsidR="00A43D20">
              <w:rPr>
                <w:webHidden/>
              </w:rPr>
              <w:fldChar w:fldCharType="begin"/>
            </w:r>
            <w:r w:rsidR="00A43D20">
              <w:rPr>
                <w:webHidden/>
              </w:rPr>
              <w:instrText xml:space="preserve"> PAGEREF _Toc118364524 \h </w:instrText>
            </w:r>
            <w:r w:rsidR="00A43D20">
              <w:rPr>
                <w:webHidden/>
              </w:rPr>
            </w:r>
            <w:r w:rsidR="00A43D20">
              <w:rPr>
                <w:webHidden/>
              </w:rPr>
              <w:fldChar w:fldCharType="separate"/>
            </w:r>
            <w:r w:rsidR="00A43D20">
              <w:rPr>
                <w:webHidden/>
              </w:rPr>
              <w:t>1</w:t>
            </w:r>
            <w:r w:rsidR="00A43D20">
              <w:rPr>
                <w:webHidden/>
              </w:rPr>
              <w:fldChar w:fldCharType="end"/>
            </w:r>
          </w:hyperlink>
        </w:p>
        <w:p w14:paraId="763FE469" w14:textId="348D4F55" w:rsidR="00A43D20" w:rsidRDefault="00A01F33">
          <w:pPr>
            <w:pStyle w:val="TOC1"/>
            <w:tabs>
              <w:tab w:val="left" w:pos="567"/>
              <w:tab w:val="right" w:leader="dot" w:pos="9016"/>
            </w:tabs>
            <w:rPr>
              <w:rFonts w:asciiTheme="minorHAnsi" w:eastAsiaTheme="minorEastAsia" w:hAnsiTheme="minorHAnsi" w:cstheme="minorBidi"/>
              <w:noProof/>
              <w:sz w:val="22"/>
              <w:lang w:eastAsia="en-GB"/>
            </w:rPr>
          </w:pPr>
          <w:hyperlink w:anchor="_Toc118364525" w:history="1">
            <w:r w:rsidR="00A43D20" w:rsidRPr="008724F8">
              <w:rPr>
                <w:rStyle w:val="Hyperlink"/>
                <w:noProof/>
              </w:rPr>
              <w:t>1.</w:t>
            </w:r>
            <w:r w:rsidR="00A43D20">
              <w:rPr>
                <w:rFonts w:asciiTheme="minorHAnsi" w:eastAsiaTheme="minorEastAsia" w:hAnsiTheme="minorHAnsi" w:cstheme="minorBidi"/>
                <w:noProof/>
                <w:sz w:val="22"/>
                <w:lang w:eastAsia="en-GB"/>
              </w:rPr>
              <w:tab/>
            </w:r>
            <w:r w:rsidR="00A43D20" w:rsidRPr="008724F8">
              <w:rPr>
                <w:rStyle w:val="Hyperlink"/>
                <w:noProof/>
              </w:rPr>
              <w:t>About the Infrastructure Funding Statement</w:t>
            </w:r>
            <w:r w:rsidR="00A43D20">
              <w:rPr>
                <w:noProof/>
                <w:webHidden/>
              </w:rPr>
              <w:tab/>
            </w:r>
            <w:r w:rsidR="00A43D20">
              <w:rPr>
                <w:noProof/>
                <w:webHidden/>
              </w:rPr>
              <w:fldChar w:fldCharType="begin"/>
            </w:r>
            <w:r w:rsidR="00A43D20">
              <w:rPr>
                <w:noProof/>
                <w:webHidden/>
              </w:rPr>
              <w:instrText xml:space="preserve"> PAGEREF _Toc118364525 \h </w:instrText>
            </w:r>
            <w:r w:rsidR="00A43D20">
              <w:rPr>
                <w:noProof/>
                <w:webHidden/>
              </w:rPr>
            </w:r>
            <w:r w:rsidR="00A43D20">
              <w:rPr>
                <w:noProof/>
                <w:webHidden/>
              </w:rPr>
              <w:fldChar w:fldCharType="separate"/>
            </w:r>
            <w:r w:rsidR="00A43D20">
              <w:rPr>
                <w:noProof/>
                <w:webHidden/>
              </w:rPr>
              <w:t>2</w:t>
            </w:r>
            <w:r w:rsidR="00A43D20">
              <w:rPr>
                <w:noProof/>
                <w:webHidden/>
              </w:rPr>
              <w:fldChar w:fldCharType="end"/>
            </w:r>
          </w:hyperlink>
        </w:p>
        <w:p w14:paraId="0C2A9452" w14:textId="721A481B" w:rsidR="00A43D20" w:rsidRDefault="00A01F33">
          <w:pPr>
            <w:pStyle w:val="TOC1"/>
            <w:tabs>
              <w:tab w:val="left" w:pos="567"/>
              <w:tab w:val="right" w:leader="dot" w:pos="9016"/>
            </w:tabs>
            <w:rPr>
              <w:rFonts w:asciiTheme="minorHAnsi" w:eastAsiaTheme="minorEastAsia" w:hAnsiTheme="minorHAnsi" w:cstheme="minorBidi"/>
              <w:noProof/>
              <w:sz w:val="22"/>
              <w:lang w:eastAsia="en-GB"/>
            </w:rPr>
          </w:pPr>
          <w:hyperlink w:anchor="_Toc118364526" w:history="1">
            <w:r w:rsidR="00A43D20" w:rsidRPr="008724F8">
              <w:rPr>
                <w:rStyle w:val="Hyperlink"/>
                <w:noProof/>
              </w:rPr>
              <w:t>2.</w:t>
            </w:r>
            <w:r w:rsidR="00A43D20">
              <w:rPr>
                <w:rFonts w:asciiTheme="minorHAnsi" w:eastAsiaTheme="minorEastAsia" w:hAnsiTheme="minorHAnsi" w:cstheme="minorBidi"/>
                <w:noProof/>
                <w:sz w:val="22"/>
                <w:lang w:eastAsia="en-GB"/>
              </w:rPr>
              <w:tab/>
            </w:r>
            <w:r w:rsidR="00A43D20" w:rsidRPr="008724F8">
              <w:rPr>
                <w:rStyle w:val="Hyperlink"/>
                <w:noProof/>
              </w:rPr>
              <w:t>The matters to be included in the section 106 report for each reported year</w:t>
            </w:r>
            <w:r w:rsidR="00A43D20">
              <w:rPr>
                <w:noProof/>
                <w:webHidden/>
              </w:rPr>
              <w:tab/>
            </w:r>
            <w:r w:rsidR="00A43D20">
              <w:rPr>
                <w:noProof/>
                <w:webHidden/>
              </w:rPr>
              <w:fldChar w:fldCharType="begin"/>
            </w:r>
            <w:r w:rsidR="00A43D20">
              <w:rPr>
                <w:noProof/>
                <w:webHidden/>
              </w:rPr>
              <w:instrText xml:space="preserve"> PAGEREF _Toc118364526 \h </w:instrText>
            </w:r>
            <w:r w:rsidR="00A43D20">
              <w:rPr>
                <w:noProof/>
                <w:webHidden/>
              </w:rPr>
            </w:r>
            <w:r w:rsidR="00A43D20">
              <w:rPr>
                <w:noProof/>
                <w:webHidden/>
              </w:rPr>
              <w:fldChar w:fldCharType="separate"/>
            </w:r>
            <w:r w:rsidR="00A43D20">
              <w:rPr>
                <w:noProof/>
                <w:webHidden/>
              </w:rPr>
              <w:t>2</w:t>
            </w:r>
            <w:r w:rsidR="00A43D20">
              <w:rPr>
                <w:noProof/>
                <w:webHidden/>
              </w:rPr>
              <w:fldChar w:fldCharType="end"/>
            </w:r>
          </w:hyperlink>
        </w:p>
        <w:p w14:paraId="5888D126" w14:textId="737F617F" w:rsidR="00A43D20" w:rsidRDefault="00A01F33">
          <w:pPr>
            <w:pStyle w:val="TOC1"/>
            <w:tabs>
              <w:tab w:val="left" w:pos="567"/>
              <w:tab w:val="right" w:leader="dot" w:pos="9016"/>
            </w:tabs>
            <w:rPr>
              <w:rFonts w:asciiTheme="minorHAnsi" w:eastAsiaTheme="minorEastAsia" w:hAnsiTheme="minorHAnsi" w:cstheme="minorBidi"/>
              <w:noProof/>
              <w:sz w:val="22"/>
              <w:lang w:eastAsia="en-GB"/>
            </w:rPr>
          </w:pPr>
          <w:hyperlink w:anchor="_Toc118364527" w:history="1">
            <w:r w:rsidR="00A43D20" w:rsidRPr="008724F8">
              <w:rPr>
                <w:rStyle w:val="Hyperlink"/>
                <w:noProof/>
              </w:rPr>
              <w:t>3.</w:t>
            </w:r>
            <w:r w:rsidR="00A43D20">
              <w:rPr>
                <w:rFonts w:asciiTheme="minorHAnsi" w:eastAsiaTheme="minorEastAsia" w:hAnsiTheme="minorHAnsi" w:cstheme="minorBidi"/>
                <w:noProof/>
                <w:sz w:val="22"/>
                <w:lang w:eastAsia="en-GB"/>
              </w:rPr>
              <w:tab/>
            </w:r>
            <w:r w:rsidR="00A43D20" w:rsidRPr="008724F8">
              <w:rPr>
                <w:rStyle w:val="Hyperlink"/>
                <w:noProof/>
              </w:rPr>
              <w:t>The matters which may be included in the section 106 report for each reported year</w:t>
            </w:r>
            <w:r w:rsidR="00A43D20">
              <w:rPr>
                <w:noProof/>
                <w:webHidden/>
              </w:rPr>
              <w:tab/>
            </w:r>
            <w:r w:rsidR="00A43D20">
              <w:rPr>
                <w:noProof/>
                <w:webHidden/>
              </w:rPr>
              <w:fldChar w:fldCharType="begin"/>
            </w:r>
            <w:r w:rsidR="00A43D20">
              <w:rPr>
                <w:noProof/>
                <w:webHidden/>
              </w:rPr>
              <w:instrText xml:space="preserve"> PAGEREF _Toc118364527 \h </w:instrText>
            </w:r>
            <w:r w:rsidR="00A43D20">
              <w:rPr>
                <w:noProof/>
                <w:webHidden/>
              </w:rPr>
            </w:r>
            <w:r w:rsidR="00A43D20">
              <w:rPr>
                <w:noProof/>
                <w:webHidden/>
              </w:rPr>
              <w:fldChar w:fldCharType="separate"/>
            </w:r>
            <w:r w:rsidR="00A43D20">
              <w:rPr>
                <w:noProof/>
                <w:webHidden/>
              </w:rPr>
              <w:t>3</w:t>
            </w:r>
            <w:r w:rsidR="00A43D20">
              <w:rPr>
                <w:noProof/>
                <w:webHidden/>
              </w:rPr>
              <w:fldChar w:fldCharType="end"/>
            </w:r>
          </w:hyperlink>
        </w:p>
        <w:p w14:paraId="13CC83F6" w14:textId="5BF22BFF" w:rsidR="00A43D20" w:rsidRDefault="00A01F33">
          <w:pPr>
            <w:pStyle w:val="TOC1"/>
            <w:tabs>
              <w:tab w:val="left" w:pos="567"/>
              <w:tab w:val="right" w:leader="dot" w:pos="9016"/>
            </w:tabs>
            <w:rPr>
              <w:rFonts w:asciiTheme="minorHAnsi" w:eastAsiaTheme="minorEastAsia" w:hAnsiTheme="minorHAnsi" w:cstheme="minorBidi"/>
              <w:noProof/>
              <w:sz w:val="22"/>
              <w:lang w:eastAsia="en-GB"/>
            </w:rPr>
          </w:pPr>
          <w:hyperlink w:anchor="_Toc118364528" w:history="1">
            <w:r w:rsidR="00A43D20" w:rsidRPr="008724F8">
              <w:rPr>
                <w:rStyle w:val="Hyperlink"/>
                <w:noProof/>
              </w:rPr>
              <w:t>4.</w:t>
            </w:r>
            <w:r w:rsidR="00A43D20">
              <w:rPr>
                <w:rFonts w:asciiTheme="minorHAnsi" w:eastAsiaTheme="minorEastAsia" w:hAnsiTheme="minorHAnsi" w:cstheme="minorBidi"/>
                <w:noProof/>
                <w:sz w:val="22"/>
                <w:lang w:eastAsia="en-GB"/>
              </w:rPr>
              <w:tab/>
            </w:r>
            <w:r w:rsidR="00A43D20" w:rsidRPr="008724F8">
              <w:rPr>
                <w:rStyle w:val="Hyperlink"/>
                <w:noProof/>
              </w:rPr>
              <w:t>Planning Obligations collected to date (since 2019) and progress</w:t>
            </w:r>
            <w:r w:rsidR="00A43D20">
              <w:rPr>
                <w:noProof/>
                <w:webHidden/>
              </w:rPr>
              <w:tab/>
            </w:r>
            <w:r w:rsidR="00A43D20">
              <w:rPr>
                <w:noProof/>
                <w:webHidden/>
              </w:rPr>
              <w:fldChar w:fldCharType="begin"/>
            </w:r>
            <w:r w:rsidR="00A43D20">
              <w:rPr>
                <w:noProof/>
                <w:webHidden/>
              </w:rPr>
              <w:instrText xml:space="preserve"> PAGEREF _Toc118364528 \h </w:instrText>
            </w:r>
            <w:r w:rsidR="00A43D20">
              <w:rPr>
                <w:noProof/>
                <w:webHidden/>
              </w:rPr>
            </w:r>
            <w:r w:rsidR="00A43D20">
              <w:rPr>
                <w:noProof/>
                <w:webHidden/>
              </w:rPr>
              <w:fldChar w:fldCharType="separate"/>
            </w:r>
            <w:r w:rsidR="00A43D20">
              <w:rPr>
                <w:noProof/>
                <w:webHidden/>
              </w:rPr>
              <w:t>4</w:t>
            </w:r>
            <w:r w:rsidR="00A43D20">
              <w:rPr>
                <w:noProof/>
                <w:webHidden/>
              </w:rPr>
              <w:fldChar w:fldCharType="end"/>
            </w:r>
          </w:hyperlink>
        </w:p>
        <w:p w14:paraId="04D65D3C" w14:textId="77777777" w:rsidR="004B114C" w:rsidRDefault="00C7658E" w:rsidP="00C7658E">
          <w:pPr>
            <w:pStyle w:val="TOCHeading"/>
          </w:pPr>
          <w:r>
            <w:rPr>
              <w:bCs/>
              <w:noProof/>
            </w:rPr>
            <w:fldChar w:fldCharType="end"/>
          </w:r>
        </w:p>
      </w:sdtContent>
    </w:sdt>
    <w:p w14:paraId="2EC367D7" w14:textId="77777777" w:rsidR="004B114C" w:rsidRPr="00554C64" w:rsidRDefault="00FA1F78" w:rsidP="00DE64A2">
      <w:pPr>
        <w:pStyle w:val="Heading1"/>
        <w:numPr>
          <w:ilvl w:val="0"/>
          <w:numId w:val="4"/>
        </w:numPr>
      </w:pPr>
      <w:bookmarkStart w:id="3" w:name="_Toc118364525"/>
      <w:r>
        <w:t>About the Infrastructure Funding Statement</w:t>
      </w:r>
      <w:bookmarkEnd w:id="3"/>
    </w:p>
    <w:p w14:paraId="197380EB" w14:textId="77777777" w:rsidR="00FA1F78" w:rsidRDefault="00FA1F78" w:rsidP="004B114C">
      <w:r w:rsidRPr="00FA1F78">
        <w:t>The Community Infrastructure Levy (CIL) regulations require all local planning authorities that issue a CIL liability notice or enter into section 106 planning obligations during a reporting year to publish an infrastructure funding statement (IFS) at least annually. The infrastructure funding statement should, as a minimum, include the information set out in </w:t>
      </w:r>
      <w:hyperlink r:id="rId13" w:history="1">
        <w:r w:rsidRPr="00FA1F78">
          <w:rPr>
            <w:rStyle w:val="Hyperlink"/>
          </w:rPr>
          <w:t>Schedule 2 to the Community Infrastructure Levy regulations 2010</w:t>
        </w:r>
      </w:hyperlink>
      <w:r w:rsidRPr="00FA1F78">
        <w:t> (as inserted by the 2019 regulations).</w:t>
      </w:r>
    </w:p>
    <w:p w14:paraId="7F257ABA" w14:textId="77777777" w:rsidR="00FA1F78" w:rsidRPr="00FA1F78" w:rsidRDefault="00FA1F78" w:rsidP="00DE64A2">
      <w:pPr>
        <w:pStyle w:val="Heading1"/>
        <w:numPr>
          <w:ilvl w:val="0"/>
          <w:numId w:val="4"/>
        </w:numPr>
      </w:pPr>
      <w:bookmarkStart w:id="4" w:name="_Toc118364526"/>
      <w:r w:rsidRPr="00FA1F78">
        <w:t xml:space="preserve">The matters to be included in the </w:t>
      </w:r>
      <w:r w:rsidR="00DE64A2">
        <w:t>s</w:t>
      </w:r>
      <w:r w:rsidRPr="00FA1F78">
        <w:t>ection 106 report for each reported year</w:t>
      </w:r>
      <w:bookmarkEnd w:id="4"/>
    </w:p>
    <w:p w14:paraId="5BE23D16" w14:textId="77777777" w:rsidR="00FA1F78" w:rsidRPr="00FA1F78" w:rsidRDefault="00FA1F78" w:rsidP="00FA1F78">
      <w:r w:rsidRPr="00FA1F78">
        <w:t>(a)</w:t>
      </w:r>
      <w:r>
        <w:t xml:space="preserve"> </w:t>
      </w:r>
      <w:r w:rsidRPr="00FA1F78">
        <w:t>the total amount of money to be provided under any planning obligations which were entered into during the reported year</w:t>
      </w:r>
      <w:r w:rsidR="006B5B82">
        <w:t xml:space="preserve">: </w:t>
      </w:r>
      <w:r>
        <w:t>Zero</w:t>
      </w:r>
    </w:p>
    <w:p w14:paraId="114E573A" w14:textId="77777777" w:rsidR="00FA1F78" w:rsidRPr="00FA1F78" w:rsidRDefault="00FA1F78" w:rsidP="00FA1F78">
      <w:r w:rsidRPr="00FA1F78">
        <w:t>(b)</w:t>
      </w:r>
      <w:r>
        <w:t xml:space="preserve"> </w:t>
      </w:r>
      <w:r w:rsidRPr="00FA1F78">
        <w:t>the total amount of money under any planning obligations which was received during the reported year</w:t>
      </w:r>
      <w:r w:rsidR="006B5B82">
        <w:t xml:space="preserve">: </w:t>
      </w:r>
      <w:r>
        <w:t>Zero</w:t>
      </w:r>
    </w:p>
    <w:p w14:paraId="05750492" w14:textId="77777777" w:rsidR="00FA1F78" w:rsidRPr="00FA1F78" w:rsidRDefault="00FA1F78" w:rsidP="00FA1F78">
      <w:r w:rsidRPr="00FA1F78">
        <w:t>(c)</w:t>
      </w:r>
      <w:r>
        <w:t xml:space="preserve"> </w:t>
      </w:r>
      <w:r w:rsidRPr="00FA1F78">
        <w:t>the total amount of money under any planning obligations which was received before the reported year which has not been allocated by the authority</w:t>
      </w:r>
      <w:r w:rsidR="006B5B82">
        <w:t xml:space="preserve">: </w:t>
      </w:r>
      <w:r>
        <w:t>Zero</w:t>
      </w:r>
    </w:p>
    <w:p w14:paraId="753D06DD" w14:textId="77777777" w:rsidR="00FA1F78" w:rsidRPr="00FA1F78" w:rsidRDefault="00FA1F78" w:rsidP="00FA1F78">
      <w:r w:rsidRPr="00FA1F78">
        <w:t>(d)</w:t>
      </w:r>
      <w:r>
        <w:t xml:space="preserve"> </w:t>
      </w:r>
      <w:r w:rsidRPr="00FA1F78">
        <w:t>summary details of any non-monetary contributions to be provided under planning obligations which were entered into during the reported year, including details of—</w:t>
      </w:r>
    </w:p>
    <w:p w14:paraId="413D4478" w14:textId="77777777" w:rsidR="00DE64A2" w:rsidRPr="00DE64A2" w:rsidRDefault="00DE64A2" w:rsidP="00DE64A2">
      <w:r>
        <w:t xml:space="preserve">Please note that there was one </w:t>
      </w:r>
      <w:proofErr w:type="spellStart"/>
      <w:proofErr w:type="gramStart"/>
      <w:r>
        <w:t>non monetary</w:t>
      </w:r>
      <w:proofErr w:type="spellEnd"/>
      <w:proofErr w:type="gramEnd"/>
      <w:r>
        <w:t xml:space="preserve"> section 106 agreement. For application </w:t>
      </w:r>
      <w:r w:rsidRPr="006B5B82">
        <w:t>BA/2020/0259/FUL</w:t>
      </w:r>
      <w:r>
        <w:t>, the agreements states to k</w:t>
      </w:r>
      <w:r w:rsidRPr="006B5B82">
        <w:t xml:space="preserve">eep mill and pumphouse in same ownership, keep mill as annexe use only, </w:t>
      </w:r>
      <w:r w:rsidRPr="00DE64A2">
        <w:t>complete development in 7 years and remove caravan.</w:t>
      </w:r>
    </w:p>
    <w:p w14:paraId="667896EB" w14:textId="77777777" w:rsidR="00FA1F78" w:rsidRPr="00DE64A2" w:rsidRDefault="00FA1F78" w:rsidP="00FA1F78">
      <w:r w:rsidRPr="00DE64A2">
        <w:t>(</w:t>
      </w:r>
      <w:proofErr w:type="spellStart"/>
      <w:r w:rsidRPr="00DE64A2">
        <w:t>i</w:t>
      </w:r>
      <w:proofErr w:type="spellEnd"/>
      <w:r w:rsidRPr="00DE64A2">
        <w:t>) in relation to affordable housing, the total number of units which will be provided</w:t>
      </w:r>
      <w:r w:rsidR="00DE64A2" w:rsidRPr="00DE64A2">
        <w:t xml:space="preserve">: </w:t>
      </w:r>
      <w:r w:rsidRPr="00DE64A2">
        <w:t>Zero</w:t>
      </w:r>
    </w:p>
    <w:p w14:paraId="3B42A1B8" w14:textId="77777777" w:rsidR="00FA1F78" w:rsidRPr="00DE64A2" w:rsidRDefault="00FA1F78" w:rsidP="00FA1F78">
      <w:r w:rsidRPr="00DE64A2">
        <w:t>(ii) in relation to educational facilities, the number of school places for pupils which will be provided, and the category of school at which they will be provided</w:t>
      </w:r>
      <w:r w:rsidR="00DE64A2" w:rsidRPr="00DE64A2">
        <w:t xml:space="preserve">: </w:t>
      </w:r>
      <w:r w:rsidRPr="00DE64A2">
        <w:t>Zero</w:t>
      </w:r>
    </w:p>
    <w:p w14:paraId="0642DC59" w14:textId="77777777" w:rsidR="006B5B82" w:rsidRPr="00DE64A2" w:rsidRDefault="00DE64A2" w:rsidP="00FA1F78">
      <w:r w:rsidRPr="00DE64A2">
        <w:lastRenderedPageBreak/>
        <w:t xml:space="preserve"> </w:t>
      </w:r>
      <w:r w:rsidR="00FA1F78" w:rsidRPr="00DE64A2">
        <w:t>(e) the total amount of money (received under any planning obligations) which was allocated but not spent during the reported year for funding infrastructure</w:t>
      </w:r>
      <w:r w:rsidRPr="00DE64A2">
        <w:t xml:space="preserve">: </w:t>
      </w:r>
      <w:r w:rsidR="006B5B82" w:rsidRPr="00DE64A2">
        <w:t>Zero</w:t>
      </w:r>
    </w:p>
    <w:p w14:paraId="4E0C0744" w14:textId="77777777" w:rsidR="006B5B82" w:rsidRPr="00DE64A2" w:rsidRDefault="00FA1F78" w:rsidP="00FA1F78">
      <w:r w:rsidRPr="00DE64A2">
        <w:t>(f) the total amount of money (received under any planning obligations) which was spent by the authority (including transferring it to another person to spend)</w:t>
      </w:r>
      <w:r w:rsidR="00DE64A2" w:rsidRPr="00DE64A2">
        <w:t xml:space="preserve">: </w:t>
      </w:r>
      <w:r w:rsidR="006B5B82" w:rsidRPr="00DE64A2">
        <w:t xml:space="preserve">See table in section </w:t>
      </w:r>
      <w:r w:rsidR="00DE64A2" w:rsidRPr="00DE64A2">
        <w:t>4</w:t>
      </w:r>
      <w:r w:rsidR="006B5B82" w:rsidRPr="00DE64A2">
        <w:t>.</w:t>
      </w:r>
    </w:p>
    <w:p w14:paraId="3E7F99BD" w14:textId="77777777" w:rsidR="006B5B82" w:rsidRPr="00DE64A2" w:rsidRDefault="00FA1F78" w:rsidP="006B5B82">
      <w:r w:rsidRPr="00DE64A2">
        <w:t>(g) in relation to money (received under planning obligations) which was allocated by the authority but not spent during the reported year, summary details of the items of infrastructure on which the money has been allocated, and the amount of money allocated to each item</w:t>
      </w:r>
      <w:r w:rsidR="00DE64A2" w:rsidRPr="00DE64A2">
        <w:t xml:space="preserve">: </w:t>
      </w:r>
      <w:r w:rsidR="006B5B82" w:rsidRPr="00DE64A2">
        <w:t xml:space="preserve">See table in section </w:t>
      </w:r>
      <w:r w:rsidR="00DE64A2" w:rsidRPr="00DE64A2">
        <w:t>4</w:t>
      </w:r>
      <w:r w:rsidR="006B5B82" w:rsidRPr="00DE64A2">
        <w:t>.</w:t>
      </w:r>
    </w:p>
    <w:p w14:paraId="4039BFED" w14:textId="77777777" w:rsidR="006B5B82" w:rsidRPr="00DE64A2" w:rsidRDefault="00FA1F78" w:rsidP="00FA1F78">
      <w:r w:rsidRPr="00DE64A2">
        <w:t>(h) in relation to money (received under planning obligations) which was spent by the authority during the reported year (including transferring it to another person to spend), summary details of</w:t>
      </w:r>
      <w:r w:rsidR="00DE64A2" w:rsidRPr="00DE64A2">
        <w:t xml:space="preserve">: </w:t>
      </w:r>
      <w:r w:rsidR="006B5B82" w:rsidRPr="00DE64A2">
        <w:t>Zero</w:t>
      </w:r>
    </w:p>
    <w:p w14:paraId="0284BFE4" w14:textId="77777777" w:rsidR="006B5B82" w:rsidRPr="00DE64A2" w:rsidRDefault="00FA1F78" w:rsidP="006B5B82">
      <w:r w:rsidRPr="00DE64A2">
        <w:t>(</w:t>
      </w:r>
      <w:proofErr w:type="spellStart"/>
      <w:r w:rsidRPr="00DE64A2">
        <w:t>i</w:t>
      </w:r>
      <w:proofErr w:type="spellEnd"/>
      <w:r w:rsidRPr="00DE64A2">
        <w:t>) the items of infrastructure on which that money (received under planning obligations) was spent, and the amount spent on each it</w:t>
      </w:r>
      <w:r w:rsidR="00DE64A2" w:rsidRPr="00DE64A2">
        <w:t xml:space="preserve">em: </w:t>
      </w:r>
      <w:r w:rsidR="006B5B82" w:rsidRPr="00DE64A2">
        <w:t xml:space="preserve">See table in section </w:t>
      </w:r>
      <w:r w:rsidR="00DE64A2" w:rsidRPr="00DE64A2">
        <w:t>4</w:t>
      </w:r>
      <w:r w:rsidR="006B5B82" w:rsidRPr="00DE64A2">
        <w:t>.</w:t>
      </w:r>
    </w:p>
    <w:p w14:paraId="39C24AAC" w14:textId="77777777" w:rsidR="006B5B82" w:rsidRPr="00DE64A2" w:rsidRDefault="00FA1F78" w:rsidP="00FA1F78">
      <w:r w:rsidRPr="00DE64A2">
        <w:t>(ii) the amount of money (received under planning obligations) spent on repaying money borrowed, including any interest, with details of the items of infrastructure which that money was used to provide (wholly or in part)</w:t>
      </w:r>
      <w:r w:rsidR="00DE64A2" w:rsidRPr="00DE64A2">
        <w:t xml:space="preserve">: </w:t>
      </w:r>
      <w:r w:rsidR="006B5B82" w:rsidRPr="00DE64A2">
        <w:t>Zero</w:t>
      </w:r>
    </w:p>
    <w:p w14:paraId="6DB76ED8" w14:textId="77777777" w:rsidR="006B5B82" w:rsidRPr="00DE64A2" w:rsidRDefault="00FA1F78" w:rsidP="00FA1F78">
      <w:r w:rsidRPr="00DE64A2">
        <w:t>(iii) the amount of money (received under planning obligations) spent in respect of monitoring (including reporting under regulation 121A) in relation to the delivery of planning obligations</w:t>
      </w:r>
      <w:r w:rsidR="00DE64A2" w:rsidRPr="00DE64A2">
        <w:t xml:space="preserve">: </w:t>
      </w:r>
      <w:r w:rsidR="006B5B82" w:rsidRPr="00DE64A2">
        <w:t>Zero</w:t>
      </w:r>
    </w:p>
    <w:p w14:paraId="31243474" w14:textId="77777777" w:rsidR="006B5B82" w:rsidRPr="00FA1F78" w:rsidRDefault="00FA1F78" w:rsidP="006B5B82">
      <w:r w:rsidRPr="00DE64A2">
        <w:t>(</w:t>
      </w:r>
      <w:proofErr w:type="spellStart"/>
      <w:r w:rsidRPr="00DE64A2">
        <w:t>i</w:t>
      </w:r>
      <w:proofErr w:type="spellEnd"/>
      <w:r w:rsidRPr="00DE64A2">
        <w:t xml:space="preserve">) the total amount of money (received under any planning obligations) during any year which was retained at the end of the reported year, and where any of the retained money has been allocated for the purposes of </w:t>
      </w:r>
      <w:proofErr w:type="gramStart"/>
      <w:r w:rsidRPr="00DE64A2">
        <w:t>longer term</w:t>
      </w:r>
      <w:proofErr w:type="gramEnd"/>
      <w:r w:rsidRPr="00DE64A2">
        <w:t xml:space="preserve"> maintenance (“commuted sums”), also identify separately the total amount of commuted sums held</w:t>
      </w:r>
      <w:r w:rsidR="00DE64A2" w:rsidRPr="00DE64A2">
        <w:t xml:space="preserve">: </w:t>
      </w:r>
      <w:r w:rsidR="006B5B82" w:rsidRPr="00DE64A2">
        <w:t xml:space="preserve">See table in section </w:t>
      </w:r>
      <w:r w:rsidR="00DE64A2" w:rsidRPr="00DE64A2">
        <w:t>4</w:t>
      </w:r>
      <w:r w:rsidR="006B5B82" w:rsidRPr="00DE64A2">
        <w:t>.</w:t>
      </w:r>
    </w:p>
    <w:p w14:paraId="54FD13D7" w14:textId="77777777" w:rsidR="00FA1F78" w:rsidRPr="00FA1F78" w:rsidRDefault="00FA1F78" w:rsidP="00DE64A2">
      <w:pPr>
        <w:pStyle w:val="Heading1"/>
        <w:numPr>
          <w:ilvl w:val="0"/>
          <w:numId w:val="4"/>
        </w:numPr>
      </w:pPr>
      <w:bookmarkStart w:id="5" w:name="_Toc118364527"/>
      <w:r w:rsidRPr="00FA1F78">
        <w:t>The matters which may be included in the section 106 report for each reported year</w:t>
      </w:r>
      <w:bookmarkEnd w:id="5"/>
    </w:p>
    <w:p w14:paraId="0BEF06CF" w14:textId="2DEA444C" w:rsidR="00FA1F78" w:rsidRPr="00F867FD" w:rsidRDefault="00FA1F78" w:rsidP="00FA1F78">
      <w:r w:rsidRPr="00F867FD">
        <w:t>(a)</w:t>
      </w:r>
      <w:r w:rsidR="006B5B82" w:rsidRPr="00F867FD">
        <w:t xml:space="preserve"> </w:t>
      </w:r>
      <w:r w:rsidRPr="00F867FD">
        <w:t>summary details of any funding or provision of infrastructure which is to be provided through a highway agreement under section 278 of the Highways Act 1980 which was entered into during the reported year</w:t>
      </w:r>
      <w:r w:rsidR="00F867FD" w:rsidRPr="00F867FD">
        <w:t>: Zero</w:t>
      </w:r>
    </w:p>
    <w:p w14:paraId="49B132A7" w14:textId="0003D40A" w:rsidR="00DE64A2" w:rsidRPr="00F867FD" w:rsidRDefault="00FA1F78" w:rsidP="00F867FD">
      <w:pPr>
        <w:sectPr w:rsidR="00DE64A2" w:rsidRPr="00F867FD" w:rsidSect="002A02A4">
          <w:footerReference w:type="default" r:id="rId14"/>
          <w:footerReference w:type="first" r:id="rId15"/>
          <w:pgSz w:w="11906" w:h="16838"/>
          <w:pgMar w:top="1134" w:right="1440" w:bottom="1440" w:left="1440" w:header="709" w:footer="862" w:gutter="0"/>
          <w:cols w:space="708"/>
          <w:docGrid w:linePitch="360"/>
        </w:sectPr>
      </w:pPr>
      <w:r w:rsidRPr="00F867FD">
        <w:t>(b)</w:t>
      </w:r>
      <w:r w:rsidR="006B5B82" w:rsidRPr="00F867FD">
        <w:t xml:space="preserve"> </w:t>
      </w:r>
      <w:r w:rsidRPr="00F867FD">
        <w:t>summary details of any funding or provision of infrastructure under a highway agreement which was provided during the reported year</w:t>
      </w:r>
      <w:r w:rsidR="00F867FD" w:rsidRPr="00F867FD">
        <w:t>: Zero</w:t>
      </w:r>
    </w:p>
    <w:p w14:paraId="40D019FE" w14:textId="550672D6" w:rsidR="00F867FD" w:rsidRDefault="006B5B82" w:rsidP="00F867FD">
      <w:pPr>
        <w:pStyle w:val="Heading1"/>
        <w:numPr>
          <w:ilvl w:val="0"/>
          <w:numId w:val="4"/>
        </w:numPr>
      </w:pPr>
      <w:bookmarkStart w:id="6" w:name="_Toc118364528"/>
      <w:r w:rsidRPr="006B5B82">
        <w:lastRenderedPageBreak/>
        <w:t>Planning Obligations collected to date (since 2019) and progress</w:t>
      </w:r>
      <w:bookmarkEnd w:id="6"/>
    </w:p>
    <w:p w14:paraId="73705C06" w14:textId="77777777" w:rsidR="00F867FD" w:rsidRPr="00F867FD" w:rsidRDefault="00F867FD" w:rsidP="00F867FD"/>
    <w:tbl>
      <w:tblPr>
        <w:tblW w:w="16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268"/>
        <w:gridCol w:w="1842"/>
        <w:gridCol w:w="2268"/>
        <w:gridCol w:w="1701"/>
        <w:gridCol w:w="1169"/>
        <w:gridCol w:w="5357"/>
        <w:gridCol w:w="1554"/>
      </w:tblGrid>
      <w:tr w:rsidR="00EE5212" w:rsidRPr="00F867FD" w14:paraId="0F83D71A" w14:textId="77777777" w:rsidTr="005A39F7">
        <w:trPr>
          <w:trHeight w:val="454"/>
          <w:tblHeader/>
          <w:jc w:val="center"/>
        </w:trPr>
        <w:tc>
          <w:tcPr>
            <w:tcW w:w="2268" w:type="dxa"/>
            <w:shd w:val="clear" w:color="auto" w:fill="D9D9D9" w:themeFill="background1" w:themeFillShade="D9"/>
            <w:vAlign w:val="center"/>
          </w:tcPr>
          <w:p w14:paraId="16184D47" w14:textId="77777777" w:rsidR="00EE5212" w:rsidRPr="00EE5212" w:rsidRDefault="00EE5212" w:rsidP="005A39F7">
            <w:pPr>
              <w:autoSpaceDE w:val="0"/>
              <w:autoSpaceDN w:val="0"/>
              <w:adjustRightInd w:val="0"/>
              <w:spacing w:after="0" w:line="240" w:lineRule="auto"/>
              <w:jc w:val="center"/>
              <w:rPr>
                <w:rFonts w:eastAsiaTheme="minorHAnsi" w:cs="Calibri"/>
                <w:b/>
                <w:color w:val="000000"/>
                <w:szCs w:val="24"/>
              </w:rPr>
            </w:pPr>
            <w:r w:rsidRPr="00EE5212">
              <w:rPr>
                <w:rFonts w:eastAsiaTheme="minorHAnsi" w:cs="Calibri"/>
                <w:b/>
                <w:color w:val="000000"/>
                <w:szCs w:val="24"/>
              </w:rPr>
              <w:t>Planning Application</w:t>
            </w:r>
          </w:p>
        </w:tc>
        <w:tc>
          <w:tcPr>
            <w:tcW w:w="1842" w:type="dxa"/>
            <w:shd w:val="clear" w:color="auto" w:fill="D9D9D9" w:themeFill="background1" w:themeFillShade="D9"/>
            <w:vAlign w:val="center"/>
          </w:tcPr>
          <w:p w14:paraId="4BF329D4" w14:textId="2B45E663" w:rsidR="00EE5212" w:rsidRPr="00EE5212" w:rsidRDefault="00EE5212" w:rsidP="005A39F7">
            <w:pPr>
              <w:autoSpaceDE w:val="0"/>
              <w:autoSpaceDN w:val="0"/>
              <w:adjustRightInd w:val="0"/>
              <w:spacing w:after="0" w:line="240" w:lineRule="auto"/>
              <w:jc w:val="center"/>
              <w:rPr>
                <w:rFonts w:eastAsiaTheme="minorHAnsi" w:cs="Calibri"/>
                <w:b/>
                <w:color w:val="000000"/>
                <w:szCs w:val="24"/>
              </w:rPr>
            </w:pPr>
            <w:r w:rsidRPr="00EE5212">
              <w:rPr>
                <w:b/>
                <w:szCs w:val="24"/>
              </w:rPr>
              <w:t>Location</w:t>
            </w:r>
          </w:p>
        </w:tc>
        <w:tc>
          <w:tcPr>
            <w:tcW w:w="2268" w:type="dxa"/>
            <w:shd w:val="clear" w:color="auto" w:fill="D9D9D9" w:themeFill="background1" w:themeFillShade="D9"/>
            <w:vAlign w:val="center"/>
          </w:tcPr>
          <w:p w14:paraId="7EFBF60A" w14:textId="33A43C3B" w:rsidR="00EE5212" w:rsidRPr="00EE5212" w:rsidRDefault="00EE5212" w:rsidP="005A39F7">
            <w:pPr>
              <w:autoSpaceDE w:val="0"/>
              <w:autoSpaceDN w:val="0"/>
              <w:adjustRightInd w:val="0"/>
              <w:spacing w:after="0" w:line="240" w:lineRule="auto"/>
              <w:jc w:val="center"/>
              <w:rPr>
                <w:rFonts w:eastAsiaTheme="minorHAnsi" w:cs="Calibri"/>
                <w:b/>
                <w:color w:val="000000"/>
                <w:szCs w:val="24"/>
              </w:rPr>
            </w:pPr>
            <w:r w:rsidRPr="00EE5212">
              <w:rPr>
                <w:b/>
                <w:szCs w:val="24"/>
              </w:rPr>
              <w:t>Description</w:t>
            </w:r>
          </w:p>
        </w:tc>
        <w:tc>
          <w:tcPr>
            <w:tcW w:w="1701" w:type="dxa"/>
            <w:shd w:val="clear" w:color="auto" w:fill="D9D9D9" w:themeFill="background1" w:themeFillShade="D9"/>
            <w:vAlign w:val="center"/>
          </w:tcPr>
          <w:p w14:paraId="3D595284" w14:textId="4CD769A0" w:rsidR="00EE5212" w:rsidRPr="00EE5212" w:rsidRDefault="00EE5212" w:rsidP="005A39F7">
            <w:pPr>
              <w:autoSpaceDE w:val="0"/>
              <w:autoSpaceDN w:val="0"/>
              <w:adjustRightInd w:val="0"/>
              <w:spacing w:after="0" w:line="240" w:lineRule="auto"/>
              <w:jc w:val="center"/>
              <w:rPr>
                <w:rFonts w:eastAsiaTheme="minorHAnsi" w:cs="Calibri"/>
                <w:b/>
                <w:color w:val="000000"/>
                <w:szCs w:val="24"/>
              </w:rPr>
            </w:pPr>
            <w:r w:rsidRPr="00EE5212">
              <w:rPr>
                <w:rFonts w:eastAsiaTheme="minorHAnsi" w:cs="Calibri"/>
                <w:b/>
                <w:color w:val="000000"/>
                <w:szCs w:val="24"/>
              </w:rPr>
              <w:t>Contribution-purpose</w:t>
            </w:r>
          </w:p>
        </w:tc>
        <w:tc>
          <w:tcPr>
            <w:tcW w:w="1169" w:type="dxa"/>
            <w:shd w:val="clear" w:color="auto" w:fill="D9D9D9" w:themeFill="background1" w:themeFillShade="D9"/>
            <w:vAlign w:val="center"/>
          </w:tcPr>
          <w:p w14:paraId="26BF74DC" w14:textId="77777777" w:rsidR="00EE5212" w:rsidRPr="00EE5212" w:rsidRDefault="00EE5212" w:rsidP="005A39F7">
            <w:pPr>
              <w:autoSpaceDE w:val="0"/>
              <w:autoSpaceDN w:val="0"/>
              <w:adjustRightInd w:val="0"/>
              <w:spacing w:after="0" w:line="240" w:lineRule="auto"/>
              <w:jc w:val="center"/>
              <w:rPr>
                <w:rFonts w:eastAsiaTheme="minorHAnsi" w:cs="Calibri"/>
                <w:b/>
                <w:color w:val="000000"/>
                <w:szCs w:val="24"/>
              </w:rPr>
            </w:pPr>
            <w:r w:rsidRPr="00EE5212">
              <w:rPr>
                <w:rFonts w:eastAsiaTheme="minorHAnsi" w:cs="Calibri"/>
                <w:b/>
                <w:color w:val="000000"/>
                <w:szCs w:val="24"/>
              </w:rPr>
              <w:t>Amount</w:t>
            </w:r>
          </w:p>
        </w:tc>
        <w:tc>
          <w:tcPr>
            <w:tcW w:w="5357" w:type="dxa"/>
            <w:shd w:val="clear" w:color="auto" w:fill="D9D9D9" w:themeFill="background1" w:themeFillShade="D9"/>
            <w:vAlign w:val="center"/>
          </w:tcPr>
          <w:p w14:paraId="19F2ECC6" w14:textId="77777777" w:rsidR="00EE5212" w:rsidRPr="00EE5212" w:rsidRDefault="00EE5212" w:rsidP="005A39F7">
            <w:pPr>
              <w:autoSpaceDE w:val="0"/>
              <w:autoSpaceDN w:val="0"/>
              <w:adjustRightInd w:val="0"/>
              <w:spacing w:after="0" w:line="240" w:lineRule="auto"/>
              <w:jc w:val="center"/>
              <w:rPr>
                <w:rFonts w:eastAsiaTheme="minorHAnsi" w:cs="Calibri"/>
                <w:b/>
                <w:color w:val="000000"/>
                <w:szCs w:val="24"/>
              </w:rPr>
            </w:pPr>
            <w:r w:rsidRPr="00EE5212">
              <w:rPr>
                <w:rFonts w:eastAsiaTheme="minorHAnsi" w:cs="Calibri"/>
                <w:b/>
                <w:color w:val="000000"/>
                <w:szCs w:val="24"/>
              </w:rPr>
              <w:t>Commentary</w:t>
            </w:r>
          </w:p>
        </w:tc>
        <w:tc>
          <w:tcPr>
            <w:tcW w:w="1554" w:type="dxa"/>
            <w:shd w:val="clear" w:color="auto" w:fill="D9D9D9" w:themeFill="background1" w:themeFillShade="D9"/>
            <w:vAlign w:val="center"/>
          </w:tcPr>
          <w:p w14:paraId="17721B09" w14:textId="77777777" w:rsidR="00EE5212" w:rsidRPr="00EE5212" w:rsidRDefault="00EE5212" w:rsidP="005A39F7">
            <w:pPr>
              <w:autoSpaceDE w:val="0"/>
              <w:autoSpaceDN w:val="0"/>
              <w:adjustRightInd w:val="0"/>
              <w:spacing w:after="0" w:line="240" w:lineRule="auto"/>
              <w:jc w:val="center"/>
              <w:rPr>
                <w:rFonts w:eastAsiaTheme="minorHAnsi" w:cs="Calibri"/>
                <w:b/>
                <w:color w:val="000000"/>
                <w:szCs w:val="24"/>
              </w:rPr>
            </w:pPr>
            <w:r w:rsidRPr="00EE5212">
              <w:rPr>
                <w:rFonts w:eastAsiaTheme="minorHAnsi" w:cs="Calibri"/>
                <w:b/>
                <w:color w:val="000000"/>
                <w:szCs w:val="24"/>
              </w:rPr>
              <w:t>Spend update</w:t>
            </w:r>
          </w:p>
        </w:tc>
      </w:tr>
      <w:tr w:rsidR="00EE5212" w:rsidRPr="00F867FD" w14:paraId="61760444" w14:textId="77777777" w:rsidTr="005A39F7">
        <w:trPr>
          <w:trHeight w:val="454"/>
          <w:jc w:val="center"/>
        </w:trPr>
        <w:tc>
          <w:tcPr>
            <w:tcW w:w="2268" w:type="dxa"/>
            <w:vAlign w:val="center"/>
          </w:tcPr>
          <w:p w14:paraId="4FDFC813" w14:textId="77777777"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BA/2019/0118/FUL</w:t>
            </w:r>
          </w:p>
        </w:tc>
        <w:tc>
          <w:tcPr>
            <w:tcW w:w="1842" w:type="dxa"/>
            <w:vAlign w:val="center"/>
          </w:tcPr>
          <w:p w14:paraId="5B1AD6CB" w14:textId="0283F0B7" w:rsidR="00EE5212" w:rsidRPr="00F867FD" w:rsidRDefault="005A39F7" w:rsidP="00CC67C0">
            <w:pPr>
              <w:autoSpaceDE w:val="0"/>
              <w:autoSpaceDN w:val="0"/>
              <w:adjustRightInd w:val="0"/>
              <w:spacing w:after="0" w:line="240" w:lineRule="auto"/>
              <w:jc w:val="center"/>
              <w:rPr>
                <w:rFonts w:eastAsiaTheme="minorHAnsi" w:cs="Calibri"/>
                <w:color w:val="000000"/>
                <w:szCs w:val="24"/>
              </w:rPr>
            </w:pPr>
            <w:r w:rsidRPr="005A39F7">
              <w:rPr>
                <w:rFonts w:eastAsiaTheme="minorHAnsi" w:cs="Calibri"/>
                <w:color w:val="000000"/>
                <w:szCs w:val="24"/>
              </w:rPr>
              <w:t>Marina Quays,</w:t>
            </w:r>
            <w:r w:rsidR="00CC67C0">
              <w:rPr>
                <w:rFonts w:eastAsiaTheme="minorHAnsi" w:cs="Calibri"/>
                <w:color w:val="000000"/>
                <w:szCs w:val="24"/>
              </w:rPr>
              <w:t xml:space="preserve"> </w:t>
            </w:r>
            <w:r w:rsidRPr="005A39F7">
              <w:rPr>
                <w:rFonts w:eastAsiaTheme="minorHAnsi" w:cs="Calibri"/>
                <w:color w:val="000000"/>
                <w:szCs w:val="24"/>
              </w:rPr>
              <w:t>Port of Yarmouth</w:t>
            </w:r>
            <w:r w:rsidR="00CC67C0">
              <w:rPr>
                <w:rFonts w:eastAsiaTheme="minorHAnsi" w:cs="Calibri"/>
                <w:color w:val="000000"/>
                <w:szCs w:val="24"/>
              </w:rPr>
              <w:t xml:space="preserve"> </w:t>
            </w:r>
            <w:r w:rsidRPr="005A39F7">
              <w:rPr>
                <w:rFonts w:eastAsiaTheme="minorHAnsi" w:cs="Calibri"/>
                <w:color w:val="000000"/>
                <w:szCs w:val="24"/>
              </w:rPr>
              <w:t>Marina,</w:t>
            </w:r>
            <w:r w:rsidR="00CC67C0">
              <w:rPr>
                <w:rFonts w:eastAsiaTheme="minorHAnsi" w:cs="Calibri"/>
                <w:color w:val="000000"/>
                <w:szCs w:val="24"/>
              </w:rPr>
              <w:t xml:space="preserve"> </w:t>
            </w:r>
            <w:r w:rsidRPr="005A39F7">
              <w:rPr>
                <w:rFonts w:eastAsiaTheme="minorHAnsi" w:cs="Calibri"/>
                <w:color w:val="000000"/>
                <w:szCs w:val="24"/>
              </w:rPr>
              <w:t xml:space="preserve">Caister Road, Great </w:t>
            </w:r>
            <w:r w:rsidR="00CC67C0">
              <w:rPr>
                <w:rFonts w:eastAsiaTheme="minorHAnsi" w:cs="Calibri"/>
                <w:color w:val="000000"/>
                <w:szCs w:val="24"/>
              </w:rPr>
              <w:t>Y</w:t>
            </w:r>
            <w:r w:rsidRPr="005A39F7">
              <w:rPr>
                <w:rFonts w:eastAsiaTheme="minorHAnsi" w:cs="Calibri"/>
                <w:color w:val="000000"/>
                <w:szCs w:val="24"/>
              </w:rPr>
              <w:t>armouth</w:t>
            </w:r>
          </w:p>
        </w:tc>
        <w:tc>
          <w:tcPr>
            <w:tcW w:w="2268" w:type="dxa"/>
            <w:vAlign w:val="center"/>
          </w:tcPr>
          <w:p w14:paraId="6BECC27C" w14:textId="71D604C2" w:rsidR="005A39F7" w:rsidRPr="005A39F7" w:rsidRDefault="005A39F7" w:rsidP="005A39F7">
            <w:pPr>
              <w:autoSpaceDE w:val="0"/>
              <w:autoSpaceDN w:val="0"/>
              <w:adjustRightInd w:val="0"/>
              <w:spacing w:after="0" w:line="240" w:lineRule="auto"/>
              <w:jc w:val="center"/>
              <w:rPr>
                <w:rFonts w:eastAsiaTheme="minorHAnsi" w:cs="Calibri"/>
                <w:color w:val="000000"/>
                <w:szCs w:val="24"/>
              </w:rPr>
            </w:pPr>
            <w:r w:rsidRPr="005A39F7">
              <w:rPr>
                <w:rFonts w:eastAsiaTheme="minorHAnsi" w:cs="Calibri"/>
                <w:color w:val="000000"/>
                <w:szCs w:val="24"/>
              </w:rPr>
              <w:t xml:space="preserve">Erection of 7 residential dwellings, 12 </w:t>
            </w:r>
            <w:proofErr w:type="gramStart"/>
            <w:r w:rsidRPr="005A39F7">
              <w:rPr>
                <w:rFonts w:eastAsiaTheme="minorHAnsi" w:cs="Calibri"/>
                <w:color w:val="000000"/>
                <w:szCs w:val="24"/>
              </w:rPr>
              <w:t>permanent</w:t>
            </w:r>
            <w:proofErr w:type="gramEnd"/>
          </w:p>
          <w:p w14:paraId="57084025" w14:textId="79DF3634" w:rsidR="00EE5212" w:rsidRPr="00F867FD" w:rsidRDefault="005A39F7" w:rsidP="00CC67C0">
            <w:pPr>
              <w:autoSpaceDE w:val="0"/>
              <w:autoSpaceDN w:val="0"/>
              <w:adjustRightInd w:val="0"/>
              <w:spacing w:after="0" w:line="240" w:lineRule="auto"/>
              <w:jc w:val="center"/>
              <w:rPr>
                <w:rFonts w:eastAsiaTheme="minorHAnsi" w:cs="Calibri"/>
                <w:color w:val="000000"/>
                <w:szCs w:val="24"/>
              </w:rPr>
            </w:pPr>
            <w:r w:rsidRPr="005A39F7">
              <w:rPr>
                <w:rFonts w:eastAsiaTheme="minorHAnsi" w:cs="Calibri"/>
                <w:color w:val="000000"/>
                <w:szCs w:val="24"/>
              </w:rPr>
              <w:t>residential moorings, 9 resident moorings, 10 visitor</w:t>
            </w:r>
            <w:r w:rsidR="00CC67C0">
              <w:rPr>
                <w:rFonts w:eastAsiaTheme="minorHAnsi" w:cs="Calibri"/>
                <w:color w:val="000000"/>
                <w:szCs w:val="24"/>
              </w:rPr>
              <w:t xml:space="preserve"> </w:t>
            </w:r>
            <w:r w:rsidRPr="005A39F7">
              <w:rPr>
                <w:rFonts w:eastAsiaTheme="minorHAnsi" w:cs="Calibri"/>
                <w:color w:val="000000"/>
                <w:szCs w:val="24"/>
              </w:rPr>
              <w:t>moorings, 1 mooring for Broads Authority, the</w:t>
            </w:r>
            <w:r w:rsidR="00CC67C0">
              <w:rPr>
                <w:rFonts w:eastAsiaTheme="minorHAnsi" w:cs="Calibri"/>
                <w:color w:val="000000"/>
                <w:szCs w:val="24"/>
              </w:rPr>
              <w:t xml:space="preserve"> </w:t>
            </w:r>
            <w:r w:rsidRPr="005A39F7">
              <w:rPr>
                <w:rFonts w:eastAsiaTheme="minorHAnsi" w:cs="Calibri"/>
                <w:color w:val="000000"/>
                <w:szCs w:val="24"/>
              </w:rPr>
              <w:t>redevelopment of the Marina building as offices &amp;</w:t>
            </w:r>
            <w:r w:rsidR="00CC67C0">
              <w:rPr>
                <w:rFonts w:eastAsiaTheme="minorHAnsi" w:cs="Calibri"/>
                <w:color w:val="000000"/>
                <w:szCs w:val="24"/>
              </w:rPr>
              <w:t xml:space="preserve"> </w:t>
            </w:r>
            <w:r w:rsidRPr="005A39F7">
              <w:rPr>
                <w:rFonts w:eastAsiaTheme="minorHAnsi" w:cs="Calibri"/>
                <w:color w:val="000000"/>
                <w:szCs w:val="24"/>
              </w:rPr>
              <w:t>storage with</w:t>
            </w:r>
            <w:r w:rsidR="00CC67C0">
              <w:rPr>
                <w:rFonts w:eastAsiaTheme="minorHAnsi" w:cs="Calibri"/>
                <w:color w:val="000000"/>
                <w:szCs w:val="24"/>
              </w:rPr>
              <w:t xml:space="preserve"> </w:t>
            </w:r>
            <w:r w:rsidRPr="005A39F7">
              <w:rPr>
                <w:rFonts w:eastAsiaTheme="minorHAnsi" w:cs="Calibri"/>
                <w:color w:val="000000"/>
                <w:szCs w:val="24"/>
              </w:rPr>
              <w:t xml:space="preserve">associated </w:t>
            </w:r>
            <w:r w:rsidR="00CC67C0">
              <w:rPr>
                <w:rFonts w:eastAsiaTheme="minorHAnsi" w:cs="Calibri"/>
                <w:color w:val="000000"/>
                <w:szCs w:val="24"/>
              </w:rPr>
              <w:t>l</w:t>
            </w:r>
            <w:r w:rsidRPr="005A39F7">
              <w:rPr>
                <w:rFonts w:eastAsiaTheme="minorHAnsi" w:cs="Calibri"/>
                <w:color w:val="000000"/>
                <w:szCs w:val="24"/>
              </w:rPr>
              <w:t>andscaping &amp; parking</w:t>
            </w:r>
          </w:p>
        </w:tc>
        <w:tc>
          <w:tcPr>
            <w:tcW w:w="1701" w:type="dxa"/>
            <w:vAlign w:val="center"/>
          </w:tcPr>
          <w:p w14:paraId="570B739E" w14:textId="231AD273"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Affordable housing</w:t>
            </w:r>
          </w:p>
        </w:tc>
        <w:tc>
          <w:tcPr>
            <w:tcW w:w="1169" w:type="dxa"/>
            <w:vAlign w:val="center"/>
          </w:tcPr>
          <w:p w14:paraId="6D5F51C2" w14:textId="77777777"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£39,000</w:t>
            </w:r>
          </w:p>
        </w:tc>
        <w:tc>
          <w:tcPr>
            <w:tcW w:w="5357" w:type="dxa"/>
            <w:vAlign w:val="center"/>
          </w:tcPr>
          <w:p w14:paraId="7CD065C0" w14:textId="7B20BA19" w:rsidR="00EE5212" w:rsidRPr="00F867FD" w:rsidRDefault="00EE5212" w:rsidP="005A39F7">
            <w:pPr>
              <w:autoSpaceDE w:val="0"/>
              <w:autoSpaceDN w:val="0"/>
              <w:adjustRightInd w:val="0"/>
              <w:spacing w:after="0" w:line="240" w:lineRule="auto"/>
              <w:rPr>
                <w:rFonts w:eastAsiaTheme="minorHAnsi" w:cs="Calibri"/>
                <w:color w:val="000000"/>
                <w:szCs w:val="24"/>
              </w:rPr>
            </w:pPr>
            <w:r w:rsidRPr="00785D50">
              <w:rPr>
                <w:rFonts w:eastAsiaTheme="minorHAnsi" w:cs="Calibri"/>
                <w:color w:val="000000"/>
                <w:szCs w:val="24"/>
              </w:rPr>
              <w:t>Commuted sums for affordable housing. Not collected at time or writing as condition states payment on occupation. GYBC, who are the Housing Authority, have stated that the funding will be used to deliver affordable housing in the borough of Great Yarmouth, either through development or acquisition.</w:t>
            </w:r>
          </w:p>
        </w:tc>
        <w:tc>
          <w:tcPr>
            <w:tcW w:w="1554" w:type="dxa"/>
            <w:vAlign w:val="center"/>
          </w:tcPr>
          <w:p w14:paraId="61DC74B4" w14:textId="0C0426B9" w:rsidR="00EE5212" w:rsidRPr="00F867FD" w:rsidRDefault="00EE5212" w:rsidP="005A39F7">
            <w:pPr>
              <w:autoSpaceDE w:val="0"/>
              <w:autoSpaceDN w:val="0"/>
              <w:adjustRightInd w:val="0"/>
              <w:spacing w:after="0" w:line="240" w:lineRule="auto"/>
              <w:jc w:val="center"/>
              <w:rPr>
                <w:rFonts w:eastAsiaTheme="minorHAnsi" w:cs="Calibri"/>
                <w:color w:val="000000"/>
                <w:szCs w:val="24"/>
                <w:highlight w:val="yellow"/>
              </w:rPr>
            </w:pPr>
            <w:r w:rsidRPr="00F867FD">
              <w:rPr>
                <w:rFonts w:eastAsiaTheme="minorHAnsi" w:cs="Calibri"/>
                <w:color w:val="000000"/>
                <w:szCs w:val="24"/>
              </w:rPr>
              <w:t>No spend to date.</w:t>
            </w:r>
          </w:p>
        </w:tc>
      </w:tr>
      <w:tr w:rsidR="00EE5212" w:rsidRPr="00F867FD" w14:paraId="2A6C302E" w14:textId="77777777" w:rsidTr="005A39F7">
        <w:trPr>
          <w:trHeight w:val="454"/>
          <w:jc w:val="center"/>
        </w:trPr>
        <w:tc>
          <w:tcPr>
            <w:tcW w:w="2268" w:type="dxa"/>
            <w:vAlign w:val="center"/>
          </w:tcPr>
          <w:p w14:paraId="078E8D9B" w14:textId="77777777"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BA/2018/0514/FUL</w:t>
            </w:r>
          </w:p>
        </w:tc>
        <w:tc>
          <w:tcPr>
            <w:tcW w:w="1842" w:type="dxa"/>
            <w:vAlign w:val="center"/>
          </w:tcPr>
          <w:p w14:paraId="6B59BE6F" w14:textId="01BF642D" w:rsidR="00EE5212" w:rsidRPr="00F867FD" w:rsidRDefault="005A39F7" w:rsidP="005A39F7">
            <w:pPr>
              <w:autoSpaceDE w:val="0"/>
              <w:autoSpaceDN w:val="0"/>
              <w:adjustRightInd w:val="0"/>
              <w:spacing w:after="0" w:line="240" w:lineRule="auto"/>
              <w:jc w:val="center"/>
              <w:rPr>
                <w:rFonts w:eastAsiaTheme="minorHAnsi" w:cs="Calibri"/>
                <w:color w:val="000000"/>
                <w:szCs w:val="24"/>
              </w:rPr>
            </w:pPr>
            <w:r w:rsidRPr="005A39F7">
              <w:rPr>
                <w:rFonts w:eastAsiaTheme="minorHAnsi" w:cs="Calibri"/>
                <w:color w:val="000000"/>
                <w:szCs w:val="24"/>
              </w:rPr>
              <w:t>Ludham Field base</w:t>
            </w:r>
          </w:p>
        </w:tc>
        <w:tc>
          <w:tcPr>
            <w:tcW w:w="2268" w:type="dxa"/>
            <w:vAlign w:val="center"/>
          </w:tcPr>
          <w:p w14:paraId="5B5B8BD9" w14:textId="0F0E37B5" w:rsidR="00EE5212" w:rsidRPr="00F867FD" w:rsidRDefault="005A39F7" w:rsidP="005A39F7">
            <w:pPr>
              <w:autoSpaceDE w:val="0"/>
              <w:autoSpaceDN w:val="0"/>
              <w:adjustRightInd w:val="0"/>
              <w:spacing w:after="0" w:line="240" w:lineRule="auto"/>
              <w:jc w:val="center"/>
              <w:rPr>
                <w:rFonts w:eastAsiaTheme="minorHAnsi" w:cs="Calibri"/>
                <w:color w:val="000000"/>
                <w:szCs w:val="24"/>
              </w:rPr>
            </w:pPr>
            <w:r w:rsidRPr="005A39F7">
              <w:rPr>
                <w:rFonts w:eastAsiaTheme="minorHAnsi" w:cs="Calibri"/>
                <w:color w:val="000000"/>
                <w:szCs w:val="24"/>
              </w:rPr>
              <w:t>Extension of mooring basin and realignment of access from Womack Dyke.</w:t>
            </w:r>
          </w:p>
        </w:tc>
        <w:tc>
          <w:tcPr>
            <w:tcW w:w="1701" w:type="dxa"/>
            <w:vAlign w:val="center"/>
          </w:tcPr>
          <w:p w14:paraId="02DB322D" w14:textId="7291B862"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Green infrastructure</w:t>
            </w:r>
          </w:p>
        </w:tc>
        <w:tc>
          <w:tcPr>
            <w:tcW w:w="1169" w:type="dxa"/>
            <w:vAlign w:val="center"/>
          </w:tcPr>
          <w:p w14:paraId="2E20AB09" w14:textId="77777777"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£3,632.04</w:t>
            </w:r>
          </w:p>
        </w:tc>
        <w:tc>
          <w:tcPr>
            <w:tcW w:w="5357" w:type="dxa"/>
            <w:vAlign w:val="center"/>
          </w:tcPr>
          <w:p w14:paraId="364E4513" w14:textId="5AF65964" w:rsidR="00EE5212" w:rsidRPr="00F867FD" w:rsidRDefault="00EE5212" w:rsidP="005A39F7">
            <w:pPr>
              <w:autoSpaceDE w:val="0"/>
              <w:autoSpaceDN w:val="0"/>
              <w:adjustRightInd w:val="0"/>
              <w:spacing w:after="0" w:line="240" w:lineRule="auto"/>
              <w:rPr>
                <w:rFonts w:eastAsiaTheme="minorHAnsi" w:cs="Calibri"/>
                <w:color w:val="000000"/>
                <w:szCs w:val="24"/>
              </w:rPr>
            </w:pPr>
            <w:r w:rsidRPr="00F867FD">
              <w:rPr>
                <w:rFonts w:eastAsiaTheme="minorHAnsi" w:cs="Calibri"/>
                <w:color w:val="000000"/>
                <w:szCs w:val="24"/>
              </w:rPr>
              <w:t xml:space="preserve">Financial contribution made to offset loss of s41 habitat. </w:t>
            </w:r>
            <w:r>
              <w:rPr>
                <w:rFonts w:eastAsiaTheme="minorHAnsi" w:cs="Calibri"/>
                <w:color w:val="000000"/>
                <w:szCs w:val="24"/>
              </w:rPr>
              <w:t xml:space="preserve">Not a S106, but an informal </w:t>
            </w:r>
            <w:r w:rsidRPr="00EE5212">
              <w:rPr>
                <w:rFonts w:eastAsiaTheme="minorHAnsi" w:cs="Calibri"/>
                <w:color w:val="000000"/>
                <w:szCs w:val="24"/>
              </w:rPr>
              <w:t>agreement. For habitat creation, likely at Peto’s Marsh. To be spent by 19/3/25</w:t>
            </w:r>
          </w:p>
        </w:tc>
        <w:tc>
          <w:tcPr>
            <w:tcW w:w="1554" w:type="dxa"/>
            <w:vAlign w:val="center"/>
          </w:tcPr>
          <w:p w14:paraId="73BCBB59" w14:textId="13740C90" w:rsidR="00EE5212" w:rsidRPr="00F867FD" w:rsidRDefault="00EE5212" w:rsidP="005A39F7">
            <w:pPr>
              <w:autoSpaceDE w:val="0"/>
              <w:autoSpaceDN w:val="0"/>
              <w:adjustRightInd w:val="0"/>
              <w:spacing w:after="0" w:line="240" w:lineRule="auto"/>
              <w:jc w:val="center"/>
              <w:rPr>
                <w:rFonts w:eastAsiaTheme="minorHAnsi" w:cs="Calibri"/>
                <w:color w:val="000000"/>
                <w:szCs w:val="24"/>
                <w:highlight w:val="yellow"/>
              </w:rPr>
            </w:pPr>
            <w:r w:rsidRPr="00F867FD">
              <w:rPr>
                <w:rFonts w:eastAsiaTheme="minorHAnsi" w:cs="Calibri"/>
                <w:color w:val="000000"/>
                <w:szCs w:val="24"/>
              </w:rPr>
              <w:t>No spend to date.</w:t>
            </w:r>
          </w:p>
        </w:tc>
      </w:tr>
      <w:tr w:rsidR="00EE5212" w:rsidRPr="00F867FD" w14:paraId="1FC4BC6B" w14:textId="77777777" w:rsidTr="005A39F7">
        <w:trPr>
          <w:trHeight w:val="454"/>
          <w:jc w:val="center"/>
        </w:trPr>
        <w:tc>
          <w:tcPr>
            <w:tcW w:w="2268" w:type="dxa"/>
            <w:vAlign w:val="center"/>
          </w:tcPr>
          <w:p w14:paraId="13812F74" w14:textId="77777777"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BA/2020/0053/FUL</w:t>
            </w:r>
          </w:p>
        </w:tc>
        <w:tc>
          <w:tcPr>
            <w:tcW w:w="1842" w:type="dxa"/>
            <w:vAlign w:val="center"/>
          </w:tcPr>
          <w:p w14:paraId="4C785915" w14:textId="77777777" w:rsidR="005A39F7" w:rsidRPr="005A39F7" w:rsidRDefault="005A39F7" w:rsidP="005A39F7">
            <w:pPr>
              <w:autoSpaceDE w:val="0"/>
              <w:autoSpaceDN w:val="0"/>
              <w:adjustRightInd w:val="0"/>
              <w:spacing w:after="0" w:line="240" w:lineRule="auto"/>
              <w:jc w:val="center"/>
              <w:rPr>
                <w:rFonts w:cs="Calibri"/>
                <w:szCs w:val="24"/>
              </w:rPr>
            </w:pPr>
            <w:r w:rsidRPr="005A39F7">
              <w:rPr>
                <w:rFonts w:cs="Calibri"/>
                <w:szCs w:val="24"/>
              </w:rPr>
              <w:t>Marina Quays, Port of Yarmouth Marina,</w:t>
            </w:r>
          </w:p>
          <w:p w14:paraId="24B07731" w14:textId="3FFE476E" w:rsidR="00EE5212" w:rsidRPr="00F867FD" w:rsidRDefault="005A39F7" w:rsidP="005A39F7">
            <w:pPr>
              <w:autoSpaceDE w:val="0"/>
              <w:autoSpaceDN w:val="0"/>
              <w:adjustRightInd w:val="0"/>
              <w:spacing w:after="0" w:line="240" w:lineRule="auto"/>
              <w:jc w:val="center"/>
              <w:rPr>
                <w:rFonts w:eastAsiaTheme="minorHAnsi" w:cs="Calibri"/>
                <w:color w:val="000000"/>
                <w:szCs w:val="24"/>
              </w:rPr>
            </w:pPr>
            <w:r w:rsidRPr="005A39F7">
              <w:rPr>
                <w:rFonts w:cs="Calibri"/>
                <w:szCs w:val="24"/>
              </w:rPr>
              <w:t>Caister Road, Great Yarmouth</w:t>
            </w:r>
          </w:p>
        </w:tc>
        <w:tc>
          <w:tcPr>
            <w:tcW w:w="2268" w:type="dxa"/>
            <w:vAlign w:val="center"/>
          </w:tcPr>
          <w:p w14:paraId="3F847995" w14:textId="3F916717"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CC53B7">
              <w:rPr>
                <w:rFonts w:cs="Calibri"/>
                <w:szCs w:val="24"/>
              </w:rPr>
              <w:t>Demolition of former marina building &amp; erection of 2 residential dwellings with parking &amp; residential moorings.</w:t>
            </w:r>
          </w:p>
        </w:tc>
        <w:tc>
          <w:tcPr>
            <w:tcW w:w="1701" w:type="dxa"/>
            <w:vAlign w:val="center"/>
          </w:tcPr>
          <w:p w14:paraId="5E062757" w14:textId="6210F499"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Affordable housing</w:t>
            </w:r>
          </w:p>
        </w:tc>
        <w:tc>
          <w:tcPr>
            <w:tcW w:w="1169" w:type="dxa"/>
            <w:vAlign w:val="center"/>
          </w:tcPr>
          <w:p w14:paraId="2D202945" w14:textId="77777777"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£3,788</w:t>
            </w:r>
          </w:p>
        </w:tc>
        <w:tc>
          <w:tcPr>
            <w:tcW w:w="5357" w:type="dxa"/>
            <w:vAlign w:val="center"/>
          </w:tcPr>
          <w:p w14:paraId="45DC0ECA" w14:textId="0E92E560" w:rsidR="00EE5212" w:rsidRPr="00F867FD" w:rsidRDefault="00EE5212" w:rsidP="005A39F7">
            <w:pPr>
              <w:autoSpaceDE w:val="0"/>
              <w:autoSpaceDN w:val="0"/>
              <w:adjustRightInd w:val="0"/>
              <w:spacing w:after="0" w:line="240" w:lineRule="auto"/>
              <w:rPr>
                <w:rFonts w:eastAsiaTheme="minorHAnsi" w:cs="Calibri"/>
                <w:color w:val="000000"/>
                <w:szCs w:val="24"/>
              </w:rPr>
            </w:pPr>
            <w:r w:rsidRPr="00785D50">
              <w:rPr>
                <w:rFonts w:eastAsiaTheme="minorHAnsi" w:cs="Calibri"/>
                <w:color w:val="000000"/>
                <w:szCs w:val="24"/>
              </w:rPr>
              <w:t>Commuted sums for affordable housing. Not collected at time or writing as condition states payment on occupation. GYBC, who are the Housing Authority, have stated that the funding will be used to deliver affordable housing in the borough of Great Yarmouth, either through development or acquisition.</w:t>
            </w:r>
          </w:p>
        </w:tc>
        <w:tc>
          <w:tcPr>
            <w:tcW w:w="1554" w:type="dxa"/>
            <w:vAlign w:val="center"/>
          </w:tcPr>
          <w:p w14:paraId="2630233E" w14:textId="4CD498D6" w:rsidR="00EE5212" w:rsidRPr="00F867FD" w:rsidRDefault="00EE5212" w:rsidP="005A39F7">
            <w:pPr>
              <w:autoSpaceDE w:val="0"/>
              <w:autoSpaceDN w:val="0"/>
              <w:adjustRightInd w:val="0"/>
              <w:spacing w:after="0" w:line="240" w:lineRule="auto"/>
              <w:jc w:val="center"/>
              <w:rPr>
                <w:rFonts w:eastAsiaTheme="minorHAnsi" w:cs="Calibri"/>
                <w:color w:val="000000"/>
                <w:szCs w:val="24"/>
                <w:highlight w:val="yellow"/>
              </w:rPr>
            </w:pPr>
            <w:r w:rsidRPr="00F867FD">
              <w:rPr>
                <w:rFonts w:eastAsiaTheme="minorHAnsi" w:cs="Calibri"/>
                <w:color w:val="000000"/>
                <w:szCs w:val="24"/>
              </w:rPr>
              <w:t>No spend to date.</w:t>
            </w:r>
          </w:p>
        </w:tc>
      </w:tr>
      <w:tr w:rsidR="00EE5212" w:rsidRPr="00F867FD" w14:paraId="3B1F048A" w14:textId="77777777" w:rsidTr="005A39F7">
        <w:trPr>
          <w:trHeight w:val="454"/>
          <w:jc w:val="center"/>
        </w:trPr>
        <w:tc>
          <w:tcPr>
            <w:tcW w:w="2268" w:type="dxa"/>
            <w:vAlign w:val="center"/>
          </w:tcPr>
          <w:p w14:paraId="597D25DE" w14:textId="77777777"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lastRenderedPageBreak/>
              <w:t>BA/2021/0084/FUL</w:t>
            </w:r>
          </w:p>
        </w:tc>
        <w:tc>
          <w:tcPr>
            <w:tcW w:w="1842" w:type="dxa"/>
            <w:vAlign w:val="center"/>
          </w:tcPr>
          <w:p w14:paraId="4EB3F210" w14:textId="1FC3AEC3" w:rsidR="00EE5212" w:rsidRPr="00F867FD" w:rsidRDefault="005A39F7" w:rsidP="00CC67C0">
            <w:pPr>
              <w:autoSpaceDE w:val="0"/>
              <w:autoSpaceDN w:val="0"/>
              <w:adjustRightInd w:val="0"/>
              <w:spacing w:after="0" w:line="240" w:lineRule="auto"/>
              <w:jc w:val="center"/>
              <w:rPr>
                <w:rFonts w:eastAsiaTheme="minorHAnsi" w:cs="Calibri"/>
                <w:color w:val="000000"/>
                <w:szCs w:val="24"/>
              </w:rPr>
            </w:pPr>
            <w:r w:rsidRPr="005A39F7">
              <w:rPr>
                <w:rFonts w:cs="Calibri"/>
                <w:szCs w:val="24"/>
              </w:rPr>
              <w:t>123 Bridge Road, Oulton</w:t>
            </w:r>
            <w:r w:rsidR="00CC67C0">
              <w:rPr>
                <w:rFonts w:cs="Calibri"/>
                <w:szCs w:val="24"/>
              </w:rPr>
              <w:t xml:space="preserve"> </w:t>
            </w:r>
            <w:r w:rsidRPr="005A39F7">
              <w:rPr>
                <w:rFonts w:cs="Calibri"/>
                <w:szCs w:val="24"/>
              </w:rPr>
              <w:t>Broad, Lowestoft</w:t>
            </w:r>
          </w:p>
        </w:tc>
        <w:tc>
          <w:tcPr>
            <w:tcW w:w="2268" w:type="dxa"/>
            <w:vAlign w:val="center"/>
          </w:tcPr>
          <w:p w14:paraId="23ABCE02" w14:textId="393C5D45"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704084">
              <w:rPr>
                <w:rFonts w:cs="Calibri"/>
                <w:szCs w:val="24"/>
              </w:rPr>
              <w:t>Sub-divide shop into 2 units, new shop fronts and 1x flat to the rear</w:t>
            </w:r>
          </w:p>
        </w:tc>
        <w:tc>
          <w:tcPr>
            <w:tcW w:w="1701" w:type="dxa"/>
            <w:vAlign w:val="center"/>
          </w:tcPr>
          <w:p w14:paraId="31229D0D" w14:textId="58392776"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Green infrastructure</w:t>
            </w:r>
          </w:p>
        </w:tc>
        <w:tc>
          <w:tcPr>
            <w:tcW w:w="1169" w:type="dxa"/>
            <w:vAlign w:val="center"/>
          </w:tcPr>
          <w:p w14:paraId="17EFC8AD" w14:textId="77777777"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£321.22</w:t>
            </w:r>
          </w:p>
        </w:tc>
        <w:tc>
          <w:tcPr>
            <w:tcW w:w="5357" w:type="dxa"/>
            <w:vAlign w:val="center"/>
          </w:tcPr>
          <w:p w14:paraId="64F25D3A" w14:textId="77777777" w:rsidR="00EE5212" w:rsidRPr="00F867FD" w:rsidRDefault="00EE5212" w:rsidP="005A39F7">
            <w:pPr>
              <w:autoSpaceDE w:val="0"/>
              <w:autoSpaceDN w:val="0"/>
              <w:adjustRightInd w:val="0"/>
              <w:spacing w:after="0" w:line="240" w:lineRule="auto"/>
              <w:rPr>
                <w:rFonts w:eastAsiaTheme="minorHAnsi" w:cs="Calibri"/>
                <w:color w:val="000000"/>
                <w:szCs w:val="24"/>
              </w:rPr>
            </w:pPr>
            <w:r w:rsidRPr="00F867FD">
              <w:rPr>
                <w:rFonts w:eastAsiaTheme="minorHAnsi" w:cs="Calibri"/>
                <w:color w:val="000000"/>
                <w:szCs w:val="24"/>
              </w:rPr>
              <w:t>This is Suffolk Coast GI RAMS payment. The money went straight to East Suffolk Council who will collate the money and combine with other RAMS payments.</w:t>
            </w:r>
          </w:p>
        </w:tc>
        <w:tc>
          <w:tcPr>
            <w:tcW w:w="1554" w:type="dxa"/>
            <w:vAlign w:val="center"/>
          </w:tcPr>
          <w:p w14:paraId="40EF65BE" w14:textId="796A3A68"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No spend to date.</w:t>
            </w:r>
          </w:p>
        </w:tc>
      </w:tr>
      <w:tr w:rsidR="00EE5212" w:rsidRPr="00F867FD" w14:paraId="1689BA38" w14:textId="77777777" w:rsidTr="005A39F7">
        <w:trPr>
          <w:trHeight w:val="454"/>
          <w:jc w:val="center"/>
        </w:trPr>
        <w:tc>
          <w:tcPr>
            <w:tcW w:w="2268" w:type="dxa"/>
            <w:vAlign w:val="center"/>
          </w:tcPr>
          <w:p w14:paraId="2FFDE5CB" w14:textId="77777777"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BA/2020/0408/FUL</w:t>
            </w:r>
          </w:p>
        </w:tc>
        <w:tc>
          <w:tcPr>
            <w:tcW w:w="1842" w:type="dxa"/>
            <w:vAlign w:val="center"/>
          </w:tcPr>
          <w:p w14:paraId="7D60FA2E" w14:textId="7B4F9DCA" w:rsidR="005A39F7" w:rsidRPr="005A39F7" w:rsidRDefault="005A39F7" w:rsidP="005A39F7">
            <w:pPr>
              <w:autoSpaceDE w:val="0"/>
              <w:autoSpaceDN w:val="0"/>
              <w:adjustRightInd w:val="0"/>
              <w:spacing w:after="0" w:line="240" w:lineRule="auto"/>
              <w:jc w:val="center"/>
              <w:rPr>
                <w:rFonts w:cs="Calibri"/>
                <w:szCs w:val="24"/>
              </w:rPr>
            </w:pPr>
            <w:proofErr w:type="spellStart"/>
            <w:r w:rsidRPr="005A39F7">
              <w:rPr>
                <w:rFonts w:cs="Calibri"/>
                <w:szCs w:val="24"/>
              </w:rPr>
              <w:t>Westerley</w:t>
            </w:r>
            <w:proofErr w:type="spellEnd"/>
            <w:r w:rsidRPr="005A39F7">
              <w:rPr>
                <w:rFonts w:cs="Calibri"/>
                <w:szCs w:val="24"/>
              </w:rPr>
              <w:t xml:space="preserve"> &amp; The Moorings, Borrow</w:t>
            </w:r>
          </w:p>
          <w:p w14:paraId="65B7C071" w14:textId="0C6AA203" w:rsidR="00EE5212" w:rsidRPr="00F867FD" w:rsidRDefault="005A39F7" w:rsidP="005A39F7">
            <w:pPr>
              <w:autoSpaceDE w:val="0"/>
              <w:autoSpaceDN w:val="0"/>
              <w:adjustRightInd w:val="0"/>
              <w:spacing w:after="0" w:line="240" w:lineRule="auto"/>
              <w:jc w:val="center"/>
              <w:rPr>
                <w:rFonts w:eastAsiaTheme="minorHAnsi" w:cs="Calibri"/>
                <w:color w:val="000000"/>
                <w:szCs w:val="24"/>
              </w:rPr>
            </w:pPr>
            <w:r w:rsidRPr="005A39F7">
              <w:rPr>
                <w:rFonts w:cs="Calibri"/>
                <w:szCs w:val="24"/>
              </w:rPr>
              <w:t>Road, Oulton Broad</w:t>
            </w:r>
          </w:p>
        </w:tc>
        <w:tc>
          <w:tcPr>
            <w:tcW w:w="2268" w:type="dxa"/>
            <w:vAlign w:val="center"/>
          </w:tcPr>
          <w:p w14:paraId="6AE7769C" w14:textId="4045186E"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704084">
              <w:rPr>
                <w:rFonts w:cs="Calibri"/>
                <w:szCs w:val="24"/>
              </w:rPr>
              <w:t>Replacement dwelling and new dwelling</w:t>
            </w:r>
          </w:p>
        </w:tc>
        <w:tc>
          <w:tcPr>
            <w:tcW w:w="1701" w:type="dxa"/>
            <w:vAlign w:val="center"/>
          </w:tcPr>
          <w:p w14:paraId="3A657769" w14:textId="110AEB09"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Green infrastructure</w:t>
            </w:r>
          </w:p>
        </w:tc>
        <w:tc>
          <w:tcPr>
            <w:tcW w:w="1169" w:type="dxa"/>
            <w:vAlign w:val="center"/>
          </w:tcPr>
          <w:p w14:paraId="61A2C8BD" w14:textId="77777777"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£321.22</w:t>
            </w:r>
          </w:p>
        </w:tc>
        <w:tc>
          <w:tcPr>
            <w:tcW w:w="5357" w:type="dxa"/>
            <w:vAlign w:val="center"/>
          </w:tcPr>
          <w:p w14:paraId="3CFBF372" w14:textId="77777777" w:rsidR="00EE5212" w:rsidRPr="00F867FD" w:rsidRDefault="00EE5212" w:rsidP="005A39F7">
            <w:pPr>
              <w:autoSpaceDE w:val="0"/>
              <w:autoSpaceDN w:val="0"/>
              <w:adjustRightInd w:val="0"/>
              <w:spacing w:after="0" w:line="240" w:lineRule="auto"/>
              <w:rPr>
                <w:rFonts w:eastAsiaTheme="minorHAnsi" w:cs="Calibri"/>
                <w:color w:val="000000"/>
                <w:szCs w:val="24"/>
              </w:rPr>
            </w:pPr>
            <w:r w:rsidRPr="00F867FD">
              <w:rPr>
                <w:rFonts w:eastAsiaTheme="minorHAnsi" w:cs="Calibri"/>
                <w:color w:val="000000"/>
                <w:szCs w:val="24"/>
              </w:rPr>
              <w:t>This is Suffolk Coast GI RAMS payment. The money went straight to East Suffolk Council who will collate the money and combine with other RAMS payments.</w:t>
            </w:r>
          </w:p>
        </w:tc>
        <w:tc>
          <w:tcPr>
            <w:tcW w:w="1554" w:type="dxa"/>
            <w:vAlign w:val="center"/>
          </w:tcPr>
          <w:p w14:paraId="28B72EC3" w14:textId="386551E2" w:rsidR="00EE5212" w:rsidRPr="00F867FD" w:rsidRDefault="00EE5212" w:rsidP="005A39F7">
            <w:pPr>
              <w:autoSpaceDE w:val="0"/>
              <w:autoSpaceDN w:val="0"/>
              <w:adjustRightInd w:val="0"/>
              <w:spacing w:after="0" w:line="240" w:lineRule="auto"/>
              <w:jc w:val="center"/>
              <w:rPr>
                <w:rFonts w:eastAsiaTheme="minorHAnsi" w:cs="Calibri"/>
                <w:color w:val="000000"/>
                <w:szCs w:val="24"/>
              </w:rPr>
            </w:pPr>
            <w:r w:rsidRPr="00F867FD">
              <w:rPr>
                <w:rFonts w:eastAsiaTheme="minorHAnsi" w:cs="Calibri"/>
                <w:color w:val="000000"/>
                <w:szCs w:val="24"/>
              </w:rPr>
              <w:t>No spend to date.</w:t>
            </w:r>
          </w:p>
        </w:tc>
      </w:tr>
    </w:tbl>
    <w:p w14:paraId="3CB9C5D8" w14:textId="77777777" w:rsidR="006B5B82" w:rsidRDefault="006B5B82" w:rsidP="004B114C"/>
    <w:p w14:paraId="340CC88A" w14:textId="794B7960" w:rsidR="001C65C3" w:rsidRDefault="001C65C3" w:rsidP="00F867FD">
      <w:bookmarkStart w:id="7" w:name="_Toc12541786"/>
      <w:bookmarkStart w:id="8" w:name="_Toc18062774"/>
    </w:p>
    <w:bookmarkEnd w:id="7"/>
    <w:bookmarkEnd w:id="8"/>
    <w:sectPr w:rsidR="001C65C3" w:rsidSect="00F867FD">
      <w:pgSz w:w="16838" w:h="11906" w:orient="landscape"/>
      <w:pgMar w:top="1440" w:right="1134" w:bottom="1440" w:left="1440" w:header="709" w:footer="8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58188" w14:textId="77777777" w:rsidR="005809BF" w:rsidRDefault="005809BF" w:rsidP="004B114C">
      <w:pPr>
        <w:spacing w:after="0" w:line="240" w:lineRule="auto"/>
      </w:pPr>
      <w:r>
        <w:separator/>
      </w:r>
    </w:p>
  </w:endnote>
  <w:endnote w:type="continuationSeparator" w:id="0">
    <w:p w14:paraId="5CF3C2C3" w14:textId="77777777" w:rsidR="005809BF" w:rsidRDefault="005809BF" w:rsidP="004B1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776544"/>
      <w:docPartObj>
        <w:docPartGallery w:val="Page Numbers (Bottom of Page)"/>
        <w:docPartUnique/>
      </w:docPartObj>
    </w:sdtPr>
    <w:sdtEndPr>
      <w:rPr>
        <w:noProof/>
      </w:rPr>
    </w:sdtEndPr>
    <w:sdtContent>
      <w:p w14:paraId="6C1CAE50" w14:textId="77777777" w:rsidR="00C66233" w:rsidRDefault="002A02A4" w:rsidP="002A02A4">
        <w:pPr>
          <w:pStyle w:val="Footer"/>
          <w:jc w:val="right"/>
        </w:pP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6A49" w14:textId="77777777" w:rsidR="002A02A4" w:rsidRPr="004B114C" w:rsidRDefault="00FA1F78" w:rsidP="004808D6">
    <w:pPr>
      <w:pStyle w:val="Subtitle"/>
      <w:rPr>
        <w:b/>
      </w:rPr>
    </w:pPr>
    <w:r>
      <w:t>December 2022</w:t>
    </w:r>
  </w:p>
  <w:p w14:paraId="43BD1C08" w14:textId="77777777" w:rsidR="002A02A4" w:rsidRDefault="002A02A4" w:rsidP="002A02A4">
    <w:pPr>
      <w:rPr>
        <w:szCs w:val="24"/>
      </w:rPr>
    </w:pPr>
    <w:r w:rsidRPr="0000195A">
      <w:rPr>
        <w:szCs w:val="24"/>
      </w:rPr>
      <w:t>Broads Authority</w:t>
    </w:r>
    <w:r w:rsidRPr="0000195A">
      <w:rPr>
        <w:szCs w:val="24"/>
      </w:rPr>
      <w:br/>
      <w:t>Yare House</w:t>
    </w:r>
    <w:r w:rsidRPr="0000195A">
      <w:rPr>
        <w:szCs w:val="24"/>
      </w:rPr>
      <w:br/>
      <w:t>62-64 Thorpe Road</w:t>
    </w:r>
    <w:r w:rsidRPr="0000195A">
      <w:rPr>
        <w:szCs w:val="24"/>
      </w:rPr>
      <w:br/>
      <w:t>Norwich</w:t>
    </w:r>
    <w:r>
      <w:rPr>
        <w:szCs w:val="24"/>
      </w:rPr>
      <w:t xml:space="preserve"> </w:t>
    </w:r>
    <w:r w:rsidRPr="0000195A">
      <w:rPr>
        <w:szCs w:val="24"/>
      </w:rPr>
      <w:t>NR1 1RY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79F1C" w14:textId="77777777" w:rsidR="005809BF" w:rsidRDefault="005809BF" w:rsidP="004B114C">
      <w:pPr>
        <w:spacing w:after="0" w:line="240" w:lineRule="auto"/>
      </w:pPr>
      <w:r>
        <w:separator/>
      </w:r>
    </w:p>
  </w:footnote>
  <w:footnote w:type="continuationSeparator" w:id="0">
    <w:p w14:paraId="1DA3E185" w14:textId="77777777" w:rsidR="005809BF" w:rsidRDefault="005809BF" w:rsidP="004B1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3810"/>
    <w:multiLevelType w:val="hybridMultilevel"/>
    <w:tmpl w:val="6E763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401E89"/>
    <w:multiLevelType w:val="multilevel"/>
    <w:tmpl w:val="CFF0D99E"/>
    <w:styleLink w:val="bulletlist"/>
    <w:lvl w:ilvl="0">
      <w:start w:val="1"/>
      <w:numFmt w:val="bullet"/>
      <w:lvlText w:val=""/>
      <w:lvlJc w:val="left"/>
      <w:pPr>
        <w:tabs>
          <w:tab w:val="num" w:pos="794"/>
        </w:tabs>
        <w:ind w:left="1247" w:hanging="396"/>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tabs>
          <w:tab w:val="num" w:pos="1078"/>
        </w:tabs>
        <w:ind w:left="1531" w:hanging="396"/>
      </w:pPr>
      <w:rPr>
        <w:rFonts w:ascii="Courier New" w:hAnsi="Courier New" w:hint="default"/>
      </w:rPr>
    </w:lvl>
    <w:lvl w:ilvl="2">
      <w:start w:val="1"/>
      <w:numFmt w:val="bullet"/>
      <w:lvlText w:val=""/>
      <w:lvlJc w:val="left"/>
      <w:pPr>
        <w:tabs>
          <w:tab w:val="num" w:pos="1362"/>
        </w:tabs>
        <w:ind w:left="1815" w:hanging="396"/>
      </w:pPr>
      <w:rPr>
        <w:rFonts w:ascii="Wingdings" w:hAnsi="Wingdings" w:hint="default"/>
      </w:rPr>
    </w:lvl>
    <w:lvl w:ilvl="3">
      <w:start w:val="1"/>
      <w:numFmt w:val="bullet"/>
      <w:lvlText w:val=""/>
      <w:lvlJc w:val="left"/>
      <w:pPr>
        <w:tabs>
          <w:tab w:val="num" w:pos="1646"/>
        </w:tabs>
        <w:ind w:left="2099" w:hanging="396"/>
      </w:pPr>
      <w:rPr>
        <w:rFonts w:ascii="Symbol" w:hAnsi="Symbol" w:hint="default"/>
      </w:rPr>
    </w:lvl>
    <w:lvl w:ilvl="4">
      <w:start w:val="1"/>
      <w:numFmt w:val="bullet"/>
      <w:lvlText w:val="o"/>
      <w:lvlJc w:val="left"/>
      <w:pPr>
        <w:tabs>
          <w:tab w:val="num" w:pos="1930"/>
        </w:tabs>
        <w:ind w:left="2383" w:hanging="396"/>
      </w:pPr>
      <w:rPr>
        <w:rFonts w:ascii="Courier New" w:hAnsi="Courier New" w:cs="Courier New" w:hint="default"/>
      </w:rPr>
    </w:lvl>
    <w:lvl w:ilvl="5">
      <w:start w:val="1"/>
      <w:numFmt w:val="bullet"/>
      <w:lvlText w:val=""/>
      <w:lvlJc w:val="left"/>
      <w:pPr>
        <w:tabs>
          <w:tab w:val="num" w:pos="2214"/>
        </w:tabs>
        <w:ind w:left="2667" w:hanging="396"/>
      </w:pPr>
      <w:rPr>
        <w:rFonts w:ascii="Wingdings" w:hAnsi="Wingdings" w:hint="default"/>
      </w:rPr>
    </w:lvl>
    <w:lvl w:ilvl="6">
      <w:start w:val="1"/>
      <w:numFmt w:val="bullet"/>
      <w:lvlText w:val=""/>
      <w:lvlJc w:val="left"/>
      <w:pPr>
        <w:tabs>
          <w:tab w:val="num" w:pos="2498"/>
        </w:tabs>
        <w:ind w:left="2951" w:hanging="396"/>
      </w:pPr>
      <w:rPr>
        <w:rFonts w:ascii="Symbol" w:hAnsi="Symbol" w:hint="default"/>
      </w:rPr>
    </w:lvl>
    <w:lvl w:ilvl="7">
      <w:start w:val="1"/>
      <w:numFmt w:val="bullet"/>
      <w:lvlText w:val="o"/>
      <w:lvlJc w:val="left"/>
      <w:pPr>
        <w:tabs>
          <w:tab w:val="num" w:pos="2782"/>
        </w:tabs>
        <w:ind w:left="3235" w:hanging="396"/>
      </w:pPr>
      <w:rPr>
        <w:rFonts w:ascii="Courier New" w:hAnsi="Courier New" w:cs="Courier New" w:hint="default"/>
      </w:rPr>
    </w:lvl>
    <w:lvl w:ilvl="8">
      <w:start w:val="1"/>
      <w:numFmt w:val="bullet"/>
      <w:lvlText w:val=""/>
      <w:lvlJc w:val="left"/>
      <w:pPr>
        <w:tabs>
          <w:tab w:val="num" w:pos="3066"/>
        </w:tabs>
        <w:ind w:left="3519" w:hanging="396"/>
      </w:pPr>
      <w:rPr>
        <w:rFonts w:ascii="Wingdings" w:hAnsi="Wingdings" w:hint="default"/>
      </w:rPr>
    </w:lvl>
  </w:abstractNum>
  <w:abstractNum w:abstractNumId="2" w15:restartNumberingAfterBreak="0">
    <w:nsid w:val="5BB45460"/>
    <w:multiLevelType w:val="hybridMultilevel"/>
    <w:tmpl w:val="79485A34"/>
    <w:lvl w:ilvl="0" w:tplc="0C0683C0">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EA2C4C72">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5C6F36"/>
    <w:multiLevelType w:val="multilevel"/>
    <w:tmpl w:val="3962ABEE"/>
    <w:styleLink w:val="Style1"/>
    <w:lvl w:ilvl="0">
      <w:start w:val="1"/>
      <w:numFmt w:val="decimal"/>
      <w:lvlText w:val="%1."/>
      <w:lvlJc w:val="left"/>
      <w:pPr>
        <w:ind w:left="794" w:hanging="794"/>
      </w:pPr>
      <w:rPr>
        <w:rFonts w:ascii="Calibri Light" w:hAnsi="Calibri Light" w:hint="default"/>
        <w:b/>
        <w:i w:val="0"/>
        <w:spacing w:val="10"/>
        <w:sz w:val="36"/>
      </w:rPr>
    </w:lvl>
    <w:lvl w:ilvl="1">
      <w:start w:val="1"/>
      <w:numFmt w:val="decimal"/>
      <w:lvlText w:val="%1.%2."/>
      <w:lvlJc w:val="left"/>
      <w:pPr>
        <w:ind w:left="794" w:hanging="794"/>
      </w:pPr>
      <w:rPr>
        <w:rFonts w:ascii="Calibri" w:hAnsi="Calibri" w:hint="default"/>
        <w:b w:val="0"/>
        <w:i w:val="0"/>
        <w:sz w:val="24"/>
      </w:rPr>
    </w:lvl>
    <w:lvl w:ilvl="2">
      <w:start w:val="1"/>
      <w:numFmt w:val="decimal"/>
      <w:lvlText w:val="%1.%2.%3."/>
      <w:lvlJc w:val="left"/>
      <w:pPr>
        <w:ind w:left="794" w:hanging="794"/>
      </w:pPr>
      <w:rPr>
        <w:rFonts w:ascii="Calibri" w:hAnsi="Calibri" w:hint="default"/>
        <w:sz w:val="24"/>
      </w:rPr>
    </w:lvl>
    <w:lvl w:ilvl="3">
      <w:start w:val="1"/>
      <w:numFmt w:val="decimal"/>
      <w:lvlText w:val="%1.%2.%3.%4."/>
      <w:lvlJc w:val="left"/>
      <w:pPr>
        <w:ind w:left="794" w:hanging="794"/>
      </w:pPr>
      <w:rPr>
        <w:rFonts w:ascii="Calibri" w:hAnsi="Calibri" w:hint="default"/>
        <w:sz w:val="24"/>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num w:numId="1" w16cid:durableId="114174796">
    <w:abstractNumId w:val="2"/>
  </w:num>
  <w:num w:numId="2" w16cid:durableId="767772415">
    <w:abstractNumId w:val="1"/>
  </w:num>
  <w:num w:numId="3" w16cid:durableId="1038579790">
    <w:abstractNumId w:val="3"/>
  </w:num>
  <w:num w:numId="4" w16cid:durableId="132855949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efaultTableStyle w:val="B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4C"/>
    <w:rsid w:val="00087669"/>
    <w:rsid w:val="000E33B8"/>
    <w:rsid w:val="000F30A8"/>
    <w:rsid w:val="000F3BE6"/>
    <w:rsid w:val="0010167C"/>
    <w:rsid w:val="001414CA"/>
    <w:rsid w:val="00165787"/>
    <w:rsid w:val="00185F96"/>
    <w:rsid w:val="001C65C3"/>
    <w:rsid w:val="0020027C"/>
    <w:rsid w:val="00205321"/>
    <w:rsid w:val="002106F9"/>
    <w:rsid w:val="00224978"/>
    <w:rsid w:val="00224A41"/>
    <w:rsid w:val="00235D12"/>
    <w:rsid w:val="00241918"/>
    <w:rsid w:val="00277C45"/>
    <w:rsid w:val="002A02A4"/>
    <w:rsid w:val="002C0517"/>
    <w:rsid w:val="002C42A6"/>
    <w:rsid w:val="00331ECE"/>
    <w:rsid w:val="00350743"/>
    <w:rsid w:val="003549FC"/>
    <w:rsid w:val="00356E16"/>
    <w:rsid w:val="003B0E76"/>
    <w:rsid w:val="003D2907"/>
    <w:rsid w:val="004770D0"/>
    <w:rsid w:val="004808D6"/>
    <w:rsid w:val="004B114C"/>
    <w:rsid w:val="00530AE3"/>
    <w:rsid w:val="00534639"/>
    <w:rsid w:val="00544096"/>
    <w:rsid w:val="00554C64"/>
    <w:rsid w:val="00562A01"/>
    <w:rsid w:val="005809BF"/>
    <w:rsid w:val="005A39F7"/>
    <w:rsid w:val="005B14BB"/>
    <w:rsid w:val="006314DF"/>
    <w:rsid w:val="00645248"/>
    <w:rsid w:val="00663AC1"/>
    <w:rsid w:val="006B5B82"/>
    <w:rsid w:val="006C6BD2"/>
    <w:rsid w:val="0070121E"/>
    <w:rsid w:val="007375D1"/>
    <w:rsid w:val="00785D50"/>
    <w:rsid w:val="007D0FC5"/>
    <w:rsid w:val="0088710D"/>
    <w:rsid w:val="00903C1F"/>
    <w:rsid w:val="00932E25"/>
    <w:rsid w:val="00A01F33"/>
    <w:rsid w:val="00A36626"/>
    <w:rsid w:val="00A43D20"/>
    <w:rsid w:val="00A479BD"/>
    <w:rsid w:val="00A63296"/>
    <w:rsid w:val="00A63720"/>
    <w:rsid w:val="00B53134"/>
    <w:rsid w:val="00BD5311"/>
    <w:rsid w:val="00C3062D"/>
    <w:rsid w:val="00C66233"/>
    <w:rsid w:val="00C704B5"/>
    <w:rsid w:val="00C7658E"/>
    <w:rsid w:val="00CC67C0"/>
    <w:rsid w:val="00CE09EF"/>
    <w:rsid w:val="00CE230D"/>
    <w:rsid w:val="00D06E3E"/>
    <w:rsid w:val="00D43550"/>
    <w:rsid w:val="00D7547F"/>
    <w:rsid w:val="00DE3648"/>
    <w:rsid w:val="00DE64A2"/>
    <w:rsid w:val="00DF694C"/>
    <w:rsid w:val="00E140AA"/>
    <w:rsid w:val="00E665F6"/>
    <w:rsid w:val="00E750E8"/>
    <w:rsid w:val="00E7630D"/>
    <w:rsid w:val="00E90CC6"/>
    <w:rsid w:val="00E949F1"/>
    <w:rsid w:val="00EB2672"/>
    <w:rsid w:val="00ED1E19"/>
    <w:rsid w:val="00EE5212"/>
    <w:rsid w:val="00F27D0C"/>
    <w:rsid w:val="00F4194C"/>
    <w:rsid w:val="00F867FD"/>
    <w:rsid w:val="00FA1F78"/>
    <w:rsid w:val="00FE3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CF14E1C"/>
  <w15:chartTrackingRefBased/>
  <w15:docId w15:val="{21691CB8-05E4-4C93-AA54-90D28ED5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D0C"/>
    <w:pPr>
      <w:spacing w:after="200" w:line="276" w:lineRule="auto"/>
    </w:pPr>
    <w:rPr>
      <w:rFonts w:ascii="Calibri" w:eastAsia="Calibri" w:hAnsi="Calibri" w:cs="Times New Roman"/>
      <w:sz w:val="24"/>
    </w:rPr>
  </w:style>
  <w:style w:type="paragraph" w:styleId="Heading1">
    <w:name w:val="heading 1"/>
    <w:basedOn w:val="Normal"/>
    <w:next w:val="Normal"/>
    <w:link w:val="Heading1Char"/>
    <w:uiPriority w:val="9"/>
    <w:qFormat/>
    <w:rsid w:val="00350743"/>
    <w:pPr>
      <w:keepNext/>
      <w:keepLines/>
      <w:spacing w:before="320" w:after="0" w:line="240" w:lineRule="auto"/>
      <w:outlineLvl w:val="0"/>
    </w:pPr>
    <w:rPr>
      <w:rFonts w:ascii="Calibri Light" w:eastAsiaTheme="majorEastAsia" w:hAnsi="Calibri Light" w:cstheme="majorBidi"/>
      <w:b/>
      <w:sz w:val="36"/>
      <w:szCs w:val="32"/>
    </w:rPr>
  </w:style>
  <w:style w:type="paragraph" w:styleId="Heading2">
    <w:name w:val="heading 2"/>
    <w:basedOn w:val="Normal"/>
    <w:next w:val="Normal"/>
    <w:link w:val="Heading2Char"/>
    <w:uiPriority w:val="9"/>
    <w:unhideWhenUsed/>
    <w:qFormat/>
    <w:rsid w:val="00663AC1"/>
    <w:pPr>
      <w:keepNext/>
      <w:keepLines/>
      <w:spacing w:before="120" w:after="0" w:line="240" w:lineRule="auto"/>
      <w:outlineLvl w:val="1"/>
    </w:pPr>
    <w:rPr>
      <w:rFonts w:ascii="Calibri Light" w:eastAsiaTheme="majorEastAsia" w:hAnsi="Calibri Light" w:cstheme="majorBidi"/>
      <w:b/>
      <w:sz w:val="28"/>
      <w:szCs w:val="26"/>
    </w:rPr>
  </w:style>
  <w:style w:type="paragraph" w:styleId="Heading3">
    <w:name w:val="heading 3"/>
    <w:basedOn w:val="Normal"/>
    <w:next w:val="Normal"/>
    <w:link w:val="Heading3Char"/>
    <w:uiPriority w:val="9"/>
    <w:unhideWhenUsed/>
    <w:qFormat/>
    <w:rsid w:val="00350743"/>
    <w:pPr>
      <w:keepNext/>
      <w:keepLines/>
      <w:spacing w:before="120" w:after="0"/>
      <w:outlineLvl w:val="2"/>
    </w:pPr>
    <w:rPr>
      <w:rFonts w:ascii="Calibri Light" w:eastAsiaTheme="majorEastAsia" w:hAnsi="Calibri Light" w:cstheme="majorBidi"/>
      <w:b/>
      <w:szCs w:val="24"/>
    </w:rPr>
  </w:style>
  <w:style w:type="paragraph" w:styleId="Heading4">
    <w:name w:val="heading 4"/>
    <w:basedOn w:val="Normal"/>
    <w:next w:val="Normal"/>
    <w:link w:val="Heading4Char"/>
    <w:uiPriority w:val="9"/>
    <w:unhideWhenUsed/>
    <w:qFormat/>
    <w:rsid w:val="00663AC1"/>
    <w:pPr>
      <w:spacing w:after="60" w:line="240" w:lineRule="auto"/>
      <w:outlineLvl w:val="3"/>
    </w:pPr>
    <w:rPr>
      <w:rFonts w:ascii="Calibri Light" w:hAnsi="Calibri Light"/>
      <w:b/>
      <w:szCs w:val="28"/>
    </w:rPr>
  </w:style>
  <w:style w:type="paragraph" w:styleId="Heading5">
    <w:name w:val="heading 5"/>
    <w:basedOn w:val="Normal"/>
    <w:next w:val="Normal"/>
    <w:link w:val="Heading5Char"/>
    <w:uiPriority w:val="9"/>
    <w:unhideWhenUsed/>
    <w:rsid w:val="00663AC1"/>
    <w:pPr>
      <w:outlineLvl w:val="4"/>
    </w:pPr>
    <w:rPr>
      <w:b/>
      <w:lang w:val="en-US"/>
    </w:rPr>
  </w:style>
  <w:style w:type="paragraph" w:styleId="Heading6">
    <w:name w:val="heading 6"/>
    <w:basedOn w:val="Normal"/>
    <w:next w:val="Normal"/>
    <w:link w:val="Heading6Char"/>
    <w:uiPriority w:val="9"/>
    <w:unhideWhenUsed/>
    <w:rsid w:val="00663AC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663AC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A">
    <w:name w:val="BA"/>
    <w:basedOn w:val="TableNormal"/>
    <w:uiPriority w:val="99"/>
    <w:rsid w:val="00F27D0C"/>
    <w:pPr>
      <w:spacing w:after="0" w:line="240" w:lineRule="auto"/>
    </w:pPr>
    <w:rPr>
      <w:rFonts w:ascii="Calibri" w:eastAsia="Calibri" w:hAnsi="Calibri" w:cs="Times New Roman"/>
      <w:sz w:val="24"/>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cPr>
      <w:vAlign w:val="center"/>
    </w:tcPr>
    <w:tblStylePr w:type="firstRow">
      <w:rPr>
        <w:b/>
      </w:rPr>
      <w:tblPr/>
      <w:trPr>
        <w:cantSplit/>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D9D9D9"/>
        <w:vAlign w:val="top"/>
      </w:tcPr>
    </w:tblStylePr>
    <w:tblStylePr w:type="band2Horz">
      <w:tblPr/>
      <w:tcPr>
        <w:shd w:val="clear" w:color="auto" w:fill="F2F2F2"/>
      </w:tcPr>
    </w:tblStylePr>
  </w:style>
  <w:style w:type="paragraph" w:styleId="ListParagraph">
    <w:name w:val="List Paragraph"/>
    <w:basedOn w:val="Normal"/>
    <w:uiPriority w:val="34"/>
    <w:qFormat/>
    <w:rsid w:val="00663AC1"/>
    <w:pPr>
      <w:ind w:left="1287" w:hanging="720"/>
    </w:pPr>
  </w:style>
  <w:style w:type="paragraph" w:customStyle="1" w:styleId="bullet">
    <w:name w:val="bullet"/>
    <w:basedOn w:val="ListParagraph"/>
    <w:qFormat/>
    <w:rsid w:val="00663AC1"/>
    <w:pPr>
      <w:numPr>
        <w:numId w:val="1"/>
      </w:numPr>
      <w:spacing w:before="120"/>
    </w:pPr>
    <w:rPr>
      <w:szCs w:val="24"/>
    </w:rPr>
  </w:style>
  <w:style w:type="numbering" w:customStyle="1" w:styleId="bulletlist">
    <w:name w:val="bullet list"/>
    <w:uiPriority w:val="99"/>
    <w:rsid w:val="00663AC1"/>
    <w:pPr>
      <w:numPr>
        <w:numId w:val="2"/>
      </w:numPr>
    </w:pPr>
  </w:style>
  <w:style w:type="character" w:styleId="CommentReference">
    <w:name w:val="annotation reference"/>
    <w:uiPriority w:val="99"/>
    <w:semiHidden/>
    <w:rsid w:val="00663AC1"/>
    <w:rPr>
      <w:sz w:val="16"/>
      <w:szCs w:val="16"/>
    </w:rPr>
  </w:style>
  <w:style w:type="paragraph" w:customStyle="1" w:styleId="Committee">
    <w:name w:val="Committee"/>
    <w:basedOn w:val="Normal"/>
    <w:qFormat/>
    <w:rsid w:val="00663AC1"/>
    <w:pPr>
      <w:spacing w:before="320" w:after="0" w:line="240" w:lineRule="auto"/>
    </w:pPr>
    <w:rPr>
      <w:rFonts w:asciiTheme="majorHAnsi" w:hAnsiTheme="majorHAnsi"/>
      <w:b/>
      <w:sz w:val="56"/>
    </w:rPr>
  </w:style>
  <w:style w:type="paragraph" w:styleId="Footer">
    <w:name w:val="footer"/>
    <w:basedOn w:val="Normal"/>
    <w:link w:val="FooterChar"/>
    <w:uiPriority w:val="99"/>
    <w:unhideWhenUsed/>
    <w:rsid w:val="00663AC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663AC1"/>
    <w:rPr>
      <w:sz w:val="20"/>
    </w:rPr>
  </w:style>
  <w:style w:type="character" w:styleId="FootnoteReference">
    <w:name w:val="footnote reference"/>
    <w:basedOn w:val="DefaultParagraphFont"/>
    <w:uiPriority w:val="99"/>
    <w:semiHidden/>
    <w:unhideWhenUsed/>
    <w:rsid w:val="00663AC1"/>
    <w:rPr>
      <w:vertAlign w:val="superscript"/>
    </w:rPr>
  </w:style>
  <w:style w:type="paragraph" w:styleId="FootnoteText">
    <w:name w:val="footnote text"/>
    <w:basedOn w:val="Normal"/>
    <w:link w:val="FootnoteTextChar"/>
    <w:uiPriority w:val="99"/>
    <w:semiHidden/>
    <w:unhideWhenUsed/>
    <w:rsid w:val="00663A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3AC1"/>
    <w:rPr>
      <w:sz w:val="20"/>
      <w:szCs w:val="20"/>
    </w:rPr>
  </w:style>
  <w:style w:type="paragraph" w:styleId="Header">
    <w:name w:val="header"/>
    <w:basedOn w:val="Normal"/>
    <w:link w:val="HeaderChar"/>
    <w:uiPriority w:val="99"/>
    <w:unhideWhenUsed/>
    <w:rsid w:val="0066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AC1"/>
    <w:rPr>
      <w:sz w:val="24"/>
    </w:rPr>
  </w:style>
  <w:style w:type="character" w:customStyle="1" w:styleId="Heading1Char">
    <w:name w:val="Heading 1 Char"/>
    <w:basedOn w:val="DefaultParagraphFont"/>
    <w:link w:val="Heading1"/>
    <w:uiPriority w:val="9"/>
    <w:rsid w:val="00350743"/>
    <w:rPr>
      <w:rFonts w:ascii="Calibri Light" w:eastAsiaTheme="majorEastAsia" w:hAnsi="Calibri Light" w:cstheme="majorBidi"/>
      <w:b/>
      <w:sz w:val="36"/>
      <w:szCs w:val="32"/>
    </w:rPr>
  </w:style>
  <w:style w:type="character" w:customStyle="1" w:styleId="Heading2Char">
    <w:name w:val="Heading 2 Char"/>
    <w:basedOn w:val="DefaultParagraphFont"/>
    <w:link w:val="Heading2"/>
    <w:uiPriority w:val="9"/>
    <w:rsid w:val="00663AC1"/>
    <w:rPr>
      <w:rFonts w:ascii="Calibri Light" w:eastAsiaTheme="majorEastAsia" w:hAnsi="Calibri Light" w:cstheme="majorBidi"/>
      <w:b/>
      <w:sz w:val="28"/>
      <w:szCs w:val="26"/>
    </w:rPr>
  </w:style>
  <w:style w:type="character" w:customStyle="1" w:styleId="Heading3Char">
    <w:name w:val="Heading 3 Char"/>
    <w:basedOn w:val="DefaultParagraphFont"/>
    <w:link w:val="Heading3"/>
    <w:uiPriority w:val="9"/>
    <w:rsid w:val="00350743"/>
    <w:rPr>
      <w:rFonts w:ascii="Calibri Light" w:eastAsiaTheme="majorEastAsia" w:hAnsi="Calibri Light" w:cstheme="majorBidi"/>
      <w:b/>
      <w:sz w:val="24"/>
      <w:szCs w:val="24"/>
    </w:rPr>
  </w:style>
  <w:style w:type="character" w:customStyle="1" w:styleId="Heading4Char">
    <w:name w:val="Heading 4 Char"/>
    <w:basedOn w:val="DefaultParagraphFont"/>
    <w:link w:val="Heading4"/>
    <w:uiPriority w:val="9"/>
    <w:rsid w:val="00663AC1"/>
    <w:rPr>
      <w:rFonts w:ascii="Calibri Light" w:hAnsi="Calibri Light"/>
      <w:b/>
      <w:sz w:val="24"/>
      <w:szCs w:val="28"/>
    </w:rPr>
  </w:style>
  <w:style w:type="character" w:customStyle="1" w:styleId="Heading5Char">
    <w:name w:val="Heading 5 Char"/>
    <w:basedOn w:val="DefaultParagraphFont"/>
    <w:link w:val="Heading5"/>
    <w:uiPriority w:val="9"/>
    <w:rsid w:val="00663AC1"/>
    <w:rPr>
      <w:b/>
      <w:sz w:val="24"/>
      <w:lang w:val="en-US"/>
    </w:rPr>
  </w:style>
  <w:style w:type="character" w:customStyle="1" w:styleId="Heading6Char">
    <w:name w:val="Heading 6 Char"/>
    <w:basedOn w:val="DefaultParagraphFont"/>
    <w:link w:val="Heading6"/>
    <w:uiPriority w:val="9"/>
    <w:rsid w:val="00663AC1"/>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663AC1"/>
    <w:rPr>
      <w:rFonts w:asciiTheme="majorHAnsi" w:eastAsiaTheme="majorEastAsia" w:hAnsiTheme="majorHAnsi" w:cstheme="majorBidi"/>
      <w:i/>
      <w:iCs/>
      <w:color w:val="1F3763" w:themeColor="accent1" w:themeShade="7F"/>
      <w:sz w:val="24"/>
    </w:rPr>
  </w:style>
  <w:style w:type="character" w:styleId="Hyperlink">
    <w:name w:val="Hyperlink"/>
    <w:basedOn w:val="DefaultParagraphFont"/>
    <w:uiPriority w:val="99"/>
    <w:unhideWhenUsed/>
    <w:rsid w:val="00663AC1"/>
    <w:rPr>
      <w:color w:val="0563C1" w:themeColor="hyperlink"/>
      <w:u w:val="single"/>
    </w:rPr>
  </w:style>
  <w:style w:type="table" w:styleId="ListTable7Colorful-Accent6">
    <w:name w:val="List Table 7 Colorful Accent 6"/>
    <w:basedOn w:val="TableNormal"/>
    <w:uiPriority w:val="52"/>
    <w:rsid w:val="00663AC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663AC1"/>
    <w:rPr>
      <w:color w:val="808080"/>
    </w:rPr>
  </w:style>
  <w:style w:type="numbering" w:customStyle="1" w:styleId="Style1">
    <w:name w:val="Style1"/>
    <w:uiPriority w:val="99"/>
    <w:rsid w:val="00663AC1"/>
    <w:pPr>
      <w:numPr>
        <w:numId w:val="3"/>
      </w:numPr>
    </w:pPr>
  </w:style>
  <w:style w:type="paragraph" w:styleId="Subtitle">
    <w:name w:val="Subtitle"/>
    <w:basedOn w:val="Normal"/>
    <w:next w:val="Normal"/>
    <w:link w:val="SubtitleChar"/>
    <w:uiPriority w:val="11"/>
    <w:qFormat/>
    <w:rsid w:val="00663AC1"/>
    <w:pPr>
      <w:numPr>
        <w:ilvl w:val="1"/>
      </w:numPr>
      <w:spacing w:after="240" w:line="240" w:lineRule="auto"/>
      <w:contextualSpacing/>
    </w:pPr>
    <w:rPr>
      <w:rFonts w:ascii="Calibri Light" w:eastAsiaTheme="minorEastAsia" w:hAnsi="Calibri Light"/>
      <w:spacing w:val="15"/>
      <w:sz w:val="28"/>
    </w:rPr>
  </w:style>
  <w:style w:type="character" w:customStyle="1" w:styleId="SubtitleChar">
    <w:name w:val="Subtitle Char"/>
    <w:basedOn w:val="DefaultParagraphFont"/>
    <w:link w:val="Subtitle"/>
    <w:uiPriority w:val="11"/>
    <w:rsid w:val="00663AC1"/>
    <w:rPr>
      <w:rFonts w:ascii="Calibri Light" w:eastAsiaTheme="minorEastAsia" w:hAnsi="Calibri Light"/>
      <w:spacing w:val="15"/>
      <w:sz w:val="28"/>
    </w:rPr>
  </w:style>
  <w:style w:type="paragraph" w:customStyle="1" w:styleId="Summaryrecommendation">
    <w:name w:val="Summary/recommendation"/>
    <w:basedOn w:val="Normal"/>
    <w:qFormat/>
    <w:rsid w:val="00663AC1"/>
    <w:pPr>
      <w:spacing w:before="120" w:after="0" w:line="240" w:lineRule="auto"/>
      <w:contextualSpacing/>
    </w:pPr>
    <w:rPr>
      <w:rFonts w:ascii="Calibri Light" w:hAnsi="Calibri Light"/>
      <w:b/>
      <w:sz w:val="28"/>
    </w:rPr>
  </w:style>
  <w:style w:type="paragraph" w:customStyle="1" w:styleId="Tablecaption">
    <w:name w:val="Table caption"/>
    <w:basedOn w:val="Normal"/>
    <w:next w:val="Normal"/>
    <w:qFormat/>
    <w:rsid w:val="00663AC1"/>
    <w:pPr>
      <w:contextualSpacing/>
    </w:pPr>
  </w:style>
  <w:style w:type="table" w:styleId="TableGrid">
    <w:name w:val="Table Grid"/>
    <w:basedOn w:val="TableNormal"/>
    <w:uiPriority w:val="39"/>
    <w:rsid w:val="00663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63AC1"/>
    <w:pPr>
      <w:spacing w:before="240" w:after="0" w:line="240" w:lineRule="auto"/>
    </w:pPr>
    <w:rPr>
      <w:rFonts w:asciiTheme="majorHAnsi" w:eastAsiaTheme="majorEastAsia" w:hAnsiTheme="majorHAnsi" w:cstheme="majorBidi"/>
      <w:b/>
      <w:spacing w:val="-10"/>
      <w:kern w:val="28"/>
      <w:sz w:val="48"/>
      <w:szCs w:val="56"/>
    </w:rPr>
  </w:style>
  <w:style w:type="character" w:customStyle="1" w:styleId="TitleChar">
    <w:name w:val="Title Char"/>
    <w:basedOn w:val="DefaultParagraphFont"/>
    <w:link w:val="Title"/>
    <w:uiPriority w:val="10"/>
    <w:rsid w:val="00663AC1"/>
    <w:rPr>
      <w:rFonts w:asciiTheme="majorHAnsi" w:eastAsiaTheme="majorEastAsia" w:hAnsiTheme="majorHAnsi" w:cstheme="majorBidi"/>
      <w:b/>
      <w:spacing w:val="-10"/>
      <w:kern w:val="28"/>
      <w:sz w:val="48"/>
      <w:szCs w:val="56"/>
    </w:rPr>
  </w:style>
  <w:style w:type="paragraph" w:styleId="TOC1">
    <w:name w:val="toc 1"/>
    <w:basedOn w:val="Normal"/>
    <w:next w:val="Normal"/>
    <w:autoRedefine/>
    <w:uiPriority w:val="39"/>
    <w:unhideWhenUsed/>
    <w:rsid w:val="00C7658E"/>
    <w:pPr>
      <w:spacing w:before="120" w:after="100"/>
    </w:pPr>
  </w:style>
  <w:style w:type="paragraph" w:styleId="TOC2">
    <w:name w:val="toc 2"/>
    <w:basedOn w:val="Normal"/>
    <w:next w:val="Normal"/>
    <w:autoRedefine/>
    <w:uiPriority w:val="39"/>
    <w:unhideWhenUsed/>
    <w:rsid w:val="00EB2672"/>
    <w:pPr>
      <w:spacing w:before="120" w:after="100"/>
      <w:ind w:left="567"/>
    </w:pPr>
    <w:rPr>
      <w:rFonts w:asciiTheme="majorHAnsi" w:hAnsiTheme="majorHAnsi" w:cstheme="majorHAnsi"/>
      <w:noProof/>
      <w:shd w:val="clear" w:color="auto" w:fill="FFFFFF"/>
    </w:rPr>
  </w:style>
  <w:style w:type="paragraph" w:styleId="TOC3">
    <w:name w:val="toc 3"/>
    <w:basedOn w:val="Normal"/>
    <w:next w:val="Normal"/>
    <w:autoRedefine/>
    <w:uiPriority w:val="39"/>
    <w:unhideWhenUsed/>
    <w:rsid w:val="00663AC1"/>
    <w:pPr>
      <w:spacing w:before="120" w:after="100"/>
    </w:pPr>
  </w:style>
  <w:style w:type="paragraph" w:styleId="TOCHeading">
    <w:name w:val="TOC Heading"/>
    <w:basedOn w:val="Heading1"/>
    <w:next w:val="Normal"/>
    <w:uiPriority w:val="39"/>
    <w:unhideWhenUsed/>
    <w:qFormat/>
    <w:rsid w:val="00C7658E"/>
    <w:pPr>
      <w:outlineLvl w:val="9"/>
    </w:pPr>
    <w:rPr>
      <w:b w:val="0"/>
      <w:sz w:val="40"/>
      <w:lang w:val="en-US"/>
    </w:rPr>
  </w:style>
  <w:style w:type="character" w:styleId="UnresolvedMention">
    <w:name w:val="Unresolved Mention"/>
    <w:basedOn w:val="DefaultParagraphFont"/>
    <w:uiPriority w:val="99"/>
    <w:semiHidden/>
    <w:unhideWhenUsed/>
    <w:rsid w:val="00663AC1"/>
    <w:rPr>
      <w:color w:val="605E5C"/>
      <w:shd w:val="clear" w:color="auto" w:fill="E1DFDD"/>
    </w:rPr>
  </w:style>
  <w:style w:type="paragraph" w:styleId="NormalWeb">
    <w:name w:val="Normal (Web)"/>
    <w:basedOn w:val="Normal"/>
    <w:uiPriority w:val="99"/>
    <w:unhideWhenUsed/>
    <w:rsid w:val="004B114C"/>
    <w:pPr>
      <w:spacing w:before="100" w:beforeAutospacing="1" w:after="100" w:afterAutospacing="1" w:line="240" w:lineRule="auto"/>
    </w:pPr>
    <w:rPr>
      <w:rFonts w:ascii="Times New Roman" w:eastAsia="Times New Roman" w:hAnsi="Times New Roman"/>
      <w:szCs w:val="24"/>
      <w:lang w:eastAsia="en-GB"/>
    </w:rPr>
  </w:style>
  <w:style w:type="paragraph" w:styleId="BalloonText">
    <w:name w:val="Balloon Text"/>
    <w:basedOn w:val="Normal"/>
    <w:link w:val="BalloonTextChar"/>
    <w:uiPriority w:val="99"/>
    <w:semiHidden/>
    <w:unhideWhenUsed/>
    <w:rsid w:val="004B1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14C"/>
    <w:rPr>
      <w:rFonts w:ascii="Tahoma" w:eastAsia="Calibri" w:hAnsi="Tahoma" w:cs="Tahoma"/>
      <w:sz w:val="16"/>
      <w:szCs w:val="16"/>
    </w:rPr>
  </w:style>
  <w:style w:type="table" w:customStyle="1" w:styleId="TableGrid1">
    <w:name w:val="Table Grid1"/>
    <w:basedOn w:val="TableNormal"/>
    <w:next w:val="TableGrid"/>
    <w:uiPriority w:val="59"/>
    <w:rsid w:val="004B11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B114C"/>
    <w:rPr>
      <w:sz w:val="20"/>
      <w:szCs w:val="20"/>
    </w:rPr>
  </w:style>
  <w:style w:type="character" w:customStyle="1" w:styleId="CommentTextChar">
    <w:name w:val="Comment Text Char"/>
    <w:basedOn w:val="DefaultParagraphFont"/>
    <w:link w:val="CommentText"/>
    <w:uiPriority w:val="99"/>
    <w:rsid w:val="004B114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114C"/>
    <w:rPr>
      <w:b/>
      <w:bCs/>
    </w:rPr>
  </w:style>
  <w:style w:type="character" w:customStyle="1" w:styleId="CommentSubjectChar">
    <w:name w:val="Comment Subject Char"/>
    <w:basedOn w:val="CommentTextChar"/>
    <w:link w:val="CommentSubject"/>
    <w:uiPriority w:val="99"/>
    <w:semiHidden/>
    <w:rsid w:val="004B114C"/>
    <w:rPr>
      <w:rFonts w:ascii="Calibri" w:eastAsia="Calibri" w:hAnsi="Calibri" w:cs="Times New Roman"/>
      <w:b/>
      <w:bCs/>
      <w:sz w:val="20"/>
      <w:szCs w:val="20"/>
    </w:rPr>
  </w:style>
  <w:style w:type="paragraph" w:customStyle="1" w:styleId="yiv7717059053msonormal">
    <w:name w:val="yiv7717059053msonormal"/>
    <w:basedOn w:val="Normal"/>
    <w:rsid w:val="004B114C"/>
    <w:pPr>
      <w:spacing w:before="100" w:beforeAutospacing="1" w:after="100" w:afterAutospacing="1" w:line="240" w:lineRule="auto"/>
    </w:pPr>
    <w:rPr>
      <w:rFonts w:ascii="Times New Roman" w:eastAsia="Times New Roman" w:hAnsi="Times New Roman"/>
      <w:szCs w:val="24"/>
      <w:lang w:eastAsia="en-GB"/>
    </w:rPr>
  </w:style>
  <w:style w:type="paragraph" w:styleId="EndnoteText">
    <w:name w:val="endnote text"/>
    <w:basedOn w:val="Normal"/>
    <w:link w:val="EndnoteTextChar"/>
    <w:uiPriority w:val="99"/>
    <w:unhideWhenUsed/>
    <w:rsid w:val="004B114C"/>
    <w:rPr>
      <w:sz w:val="20"/>
      <w:szCs w:val="20"/>
    </w:rPr>
  </w:style>
  <w:style w:type="character" w:customStyle="1" w:styleId="EndnoteTextChar">
    <w:name w:val="Endnote Text Char"/>
    <w:basedOn w:val="DefaultParagraphFont"/>
    <w:link w:val="EndnoteText"/>
    <w:uiPriority w:val="99"/>
    <w:rsid w:val="004B114C"/>
    <w:rPr>
      <w:rFonts w:ascii="Calibri" w:eastAsia="Calibri" w:hAnsi="Calibri" w:cs="Times New Roman"/>
      <w:sz w:val="20"/>
      <w:szCs w:val="20"/>
    </w:rPr>
  </w:style>
  <w:style w:type="character" w:styleId="EndnoteReference">
    <w:name w:val="endnote reference"/>
    <w:uiPriority w:val="99"/>
    <w:semiHidden/>
    <w:unhideWhenUsed/>
    <w:rsid w:val="004B114C"/>
    <w:rPr>
      <w:vertAlign w:val="superscript"/>
    </w:rPr>
  </w:style>
  <w:style w:type="character" w:styleId="FollowedHyperlink">
    <w:name w:val="FollowedHyperlink"/>
    <w:uiPriority w:val="99"/>
    <w:semiHidden/>
    <w:unhideWhenUsed/>
    <w:rsid w:val="004B114C"/>
    <w:rPr>
      <w:color w:val="800080"/>
      <w:u w:val="single"/>
    </w:rPr>
  </w:style>
  <w:style w:type="paragraph" w:styleId="NoSpacing">
    <w:name w:val="No Spacing"/>
    <w:uiPriority w:val="1"/>
    <w:qFormat/>
    <w:rsid w:val="0010167C"/>
    <w:pPr>
      <w:spacing w:after="0" w:line="240" w:lineRule="auto"/>
    </w:pPr>
    <w:rPr>
      <w:rFonts w:ascii="Calibri" w:eastAsia="Calibri" w:hAnsi="Calibri" w:cs="Times New Roman"/>
    </w:rPr>
  </w:style>
  <w:style w:type="paragraph" w:styleId="Caption">
    <w:name w:val="caption"/>
    <w:basedOn w:val="Normal"/>
    <w:next w:val="Normal"/>
    <w:uiPriority w:val="35"/>
    <w:unhideWhenUsed/>
    <w:qFormat/>
    <w:rsid w:val="000F3BE6"/>
    <w:pPr>
      <w:spacing w:line="240" w:lineRule="auto"/>
    </w:pPr>
    <w:rPr>
      <w:b/>
      <w:iCs/>
      <w:szCs w:val="18"/>
    </w:rPr>
  </w:style>
  <w:style w:type="table" w:customStyle="1" w:styleId="BAtable">
    <w:name w:val="BAtable"/>
    <w:basedOn w:val="TableNormal"/>
    <w:uiPriority w:val="99"/>
    <w:rsid w:val="00F27D0C"/>
    <w:pPr>
      <w:spacing w:after="0" w:line="240" w:lineRule="auto"/>
    </w:pPr>
    <w:rPr>
      <w:rFonts w:ascii="Calibri" w:eastAsia="Calibri" w:hAnsi="Calibri" w:cs="Times New Roman"/>
      <w:sz w:val="20"/>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blStylePr w:type="firstRow">
      <w:rPr>
        <w:b/>
      </w:rPr>
      <w:tblPr/>
      <w:trPr>
        <w:cantSplit/>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D9D9D9"/>
        <w:vAlign w:val="top"/>
      </w:tcPr>
    </w:tblStylePr>
    <w:tblStylePr w:type="band2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38988">
      <w:bodyDiv w:val="1"/>
      <w:marLeft w:val="0"/>
      <w:marRight w:val="0"/>
      <w:marTop w:val="0"/>
      <w:marBottom w:val="0"/>
      <w:divBdr>
        <w:top w:val="none" w:sz="0" w:space="0" w:color="auto"/>
        <w:left w:val="none" w:sz="0" w:space="0" w:color="auto"/>
        <w:bottom w:val="none" w:sz="0" w:space="0" w:color="auto"/>
        <w:right w:val="none" w:sz="0" w:space="0" w:color="auto"/>
      </w:divBdr>
    </w:div>
    <w:div w:id="1255288245">
      <w:bodyDiv w:val="1"/>
      <w:marLeft w:val="0"/>
      <w:marRight w:val="0"/>
      <w:marTop w:val="0"/>
      <w:marBottom w:val="0"/>
      <w:divBdr>
        <w:top w:val="none" w:sz="0" w:space="0" w:color="auto"/>
        <w:left w:val="none" w:sz="0" w:space="0" w:color="auto"/>
        <w:bottom w:val="none" w:sz="0" w:space="0" w:color="auto"/>
        <w:right w:val="none" w:sz="0" w:space="0" w:color="auto"/>
      </w:divBdr>
    </w:div>
    <w:div w:id="191700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ukdsi/2010/9780111492390/conten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39026060-aa99-4daa-8e52-8f894aabe847"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A7772091A95F21408E38B5EF1F8DC8D5" ma:contentTypeVersion="1" ma:contentTypeDescription="Create a new document." ma:contentTypeScope="" ma:versionID="444f939ef43f9d315bcf833af0007098">
  <xsd:schema xmlns:xsd="http://www.w3.org/2001/XMLSchema" xmlns:xs="http://www.w3.org/2001/XMLSchema" xmlns:p="http://schemas.microsoft.com/office/2006/metadata/properties" xmlns:ns2="1146e4df-4aaa-4dfd-9832-70a77bc9dae9" targetNamespace="http://schemas.microsoft.com/office/2006/metadata/properties" ma:root="true" ma:fieldsID="23050f4468599f936c1333cd0c15d7c4" ns2:_="">
    <xsd:import namespace="1146e4df-4aaa-4dfd-9832-70a77bc9dae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e4df-4aaa-4dfd-9832-70a77bc9da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56E01-4F02-4E06-AC62-556DE8A8769F}">
  <ds:schemaRefs>
    <ds:schemaRef ds:uri="http://schemas.microsoft.com/sharepoint/v3/contenttype/forms"/>
  </ds:schemaRefs>
</ds:datastoreItem>
</file>

<file path=customXml/itemProps2.xml><?xml version="1.0" encoding="utf-8"?>
<ds:datastoreItem xmlns:ds="http://schemas.openxmlformats.org/officeDocument/2006/customXml" ds:itemID="{51FD1549-8BE1-41D2-9BD3-597271401FD1}">
  <ds:schemaRefs>
    <ds:schemaRef ds:uri="http://schemas.microsoft.com/office/2006/metadata/properties"/>
    <ds:schemaRef ds:uri="http://purl.org/dc/dcmitype/"/>
    <ds:schemaRef ds:uri="1146e4df-4aaa-4dfd-9832-70a77bc9dae9"/>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45386FA-A2D4-4629-B5DA-850E43040957}">
  <ds:schemaRefs>
    <ds:schemaRef ds:uri="Microsoft.SharePoint.Taxonomy.ContentTypeSync"/>
  </ds:schemaRefs>
</ds:datastoreItem>
</file>

<file path=customXml/itemProps4.xml><?xml version="1.0" encoding="utf-8"?>
<ds:datastoreItem xmlns:ds="http://schemas.openxmlformats.org/officeDocument/2006/customXml" ds:itemID="{F8516073-4458-4B9C-8C70-65C0673D4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e4df-4aaa-4dfd-9832-70a77bc9d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4BC5F8-B820-4841-83E3-BED5C2E95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Broads Authority</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Waterfall</dc:creator>
  <cp:keywords/>
  <dc:description/>
  <cp:lastModifiedBy>Natalie Beal</cp:lastModifiedBy>
  <cp:revision>3</cp:revision>
  <cp:lastPrinted>2019-08-30T13:17:00Z</cp:lastPrinted>
  <dcterms:created xsi:type="dcterms:W3CDTF">2023-11-16T09:50:00Z</dcterms:created>
  <dcterms:modified xsi:type="dcterms:W3CDTF">2023-11-16T09:54:00Z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0x010100A7772091A95F21408E38B5EF1F8DC8D5</vt:lpwstr>
  </property>
</Properties>
</file>